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jc w:val="center"/>
        <w:rPr>
          <w:rFonts w:hint="eastAsia"/>
          <w:b/>
          <w:kern w:val="0"/>
          <w:sz w:val="36"/>
          <w:szCs w:val="36"/>
        </w:rPr>
      </w:pPr>
      <w:r>
        <w:rPr>
          <w:rFonts w:hint="eastAsia"/>
          <w:b/>
          <w:kern w:val="0"/>
          <w:sz w:val="36"/>
          <w:szCs w:val="36"/>
        </w:rPr>
        <w:t>丰顺县殡仪馆迁建项目社会稳定风险评估——公众参与公告</w:t>
      </w:r>
    </w:p>
    <w:p>
      <w:pPr>
        <w:spacing w:beforeAutospacing="0" w:afterAutospacing="0" w:line="360" w:lineRule="auto"/>
        <w:jc w:val="center"/>
        <w:rPr>
          <w:rFonts w:hint="eastAsia"/>
          <w:b/>
          <w:kern w:val="0"/>
          <w:sz w:val="32"/>
          <w:szCs w:val="32"/>
        </w:rPr>
      </w:pPr>
    </w:p>
    <w:p>
      <w:pPr>
        <w:spacing w:before="156" w:beforeAutospacing="0" w:afterAutospacing="0" w:line="360" w:lineRule="auto"/>
        <w:ind w:firstLine="482" w:firstLineChars="200"/>
        <w:jc w:val="left"/>
        <w:outlineLvl w:val="0"/>
        <w:rPr>
          <w:rFonts w:hint="eastAsia"/>
          <w:b/>
          <w:bCs/>
          <w:kern w:val="0"/>
          <w:sz w:val="24"/>
        </w:rPr>
      </w:pPr>
      <w:r>
        <w:rPr>
          <w:rFonts w:hint="eastAsia"/>
          <w:b/>
          <w:bCs/>
          <w:kern w:val="0"/>
          <w:sz w:val="24"/>
        </w:rPr>
        <w:t>一、项目概况</w:t>
      </w:r>
    </w:p>
    <w:p>
      <w:pPr>
        <w:spacing w:beforeAutospacing="0" w:afterAutospacing="0" w:line="360" w:lineRule="auto"/>
        <w:ind w:firstLine="480" w:firstLineChars="200"/>
        <w:rPr>
          <w:kern w:val="0"/>
          <w:sz w:val="24"/>
        </w:rPr>
      </w:pPr>
      <w:r>
        <w:rPr>
          <w:kern w:val="0"/>
          <w:sz w:val="24"/>
        </w:rPr>
        <w:t>1</w:t>
      </w:r>
      <w:r>
        <w:rPr>
          <w:rFonts w:hint="eastAsia"/>
          <w:kern w:val="0"/>
          <w:sz w:val="24"/>
        </w:rPr>
        <w:t>、项目名称：丰顺县殡仪馆迁建项目</w:t>
      </w:r>
    </w:p>
    <w:p>
      <w:pPr>
        <w:spacing w:beforeAutospacing="0" w:afterAutospacing="0" w:line="360" w:lineRule="auto"/>
        <w:ind w:firstLine="480" w:firstLineChars="200"/>
        <w:rPr>
          <w:kern w:val="0"/>
          <w:sz w:val="24"/>
        </w:rPr>
      </w:pPr>
      <w:r>
        <w:rPr>
          <w:kern w:val="0"/>
          <w:sz w:val="24"/>
        </w:rPr>
        <w:t>2</w:t>
      </w:r>
      <w:r>
        <w:rPr>
          <w:rFonts w:hint="eastAsia"/>
          <w:kern w:val="0"/>
          <w:sz w:val="24"/>
        </w:rPr>
        <w:t>、建设单位：</w:t>
      </w:r>
      <w:r>
        <w:rPr>
          <w:rFonts w:hint="eastAsia" w:ascii="宋体" w:hAnsi="宋体"/>
          <w:bCs/>
          <w:sz w:val="24"/>
        </w:rPr>
        <w:t>丰顺县殡仪馆</w:t>
      </w:r>
    </w:p>
    <w:p>
      <w:pPr>
        <w:spacing w:beforeAutospacing="0" w:afterAutospacing="0" w:line="360" w:lineRule="auto"/>
        <w:ind w:firstLine="480" w:firstLineChars="200"/>
        <w:rPr>
          <w:kern w:val="0"/>
          <w:sz w:val="24"/>
        </w:rPr>
      </w:pPr>
      <w:r>
        <w:rPr>
          <w:kern w:val="0"/>
          <w:sz w:val="24"/>
        </w:rPr>
        <w:t>3</w:t>
      </w:r>
      <w:r>
        <w:rPr>
          <w:rFonts w:hint="eastAsia"/>
          <w:kern w:val="0"/>
          <w:sz w:val="24"/>
        </w:rPr>
        <w:t>、项目概要</w:t>
      </w:r>
    </w:p>
    <w:p>
      <w:pPr>
        <w:snapToGrid w:val="0"/>
        <w:spacing w:beforeAutospacing="0" w:afterAutospacing="0" w:line="360" w:lineRule="auto"/>
        <w:ind w:firstLine="480" w:firstLineChars="200"/>
        <w:rPr>
          <w:rFonts w:hint="eastAsia" w:ascii="宋体" w:hAnsi="宋体"/>
          <w:bCs/>
          <w:color w:val="000000"/>
          <w:sz w:val="24"/>
        </w:rPr>
      </w:pPr>
      <w:r>
        <w:rPr>
          <w:rFonts w:hint="eastAsia" w:ascii="宋体" w:hAnsi="宋体"/>
          <w:bCs/>
          <w:color w:val="000000"/>
          <w:sz w:val="24"/>
        </w:rPr>
        <w:t>为进一步深化殡葬改革，加强和规范殡仪馆的建设和管理，促进</w:t>
      </w:r>
      <w:r>
        <w:rPr>
          <w:rFonts w:hint="eastAsia" w:ascii="宋体" w:hAnsi="宋体"/>
          <w:bCs/>
          <w:color w:val="000000"/>
          <w:sz w:val="24"/>
          <w:lang w:val="en-US" w:eastAsia="zh-CN"/>
        </w:rPr>
        <w:t>丰顺</w:t>
      </w:r>
      <w:r>
        <w:rPr>
          <w:rFonts w:hint="eastAsia" w:ascii="宋体" w:hAnsi="宋体"/>
          <w:bCs/>
          <w:color w:val="000000"/>
          <w:sz w:val="24"/>
        </w:rPr>
        <w:t>县殡仪馆的发展，依据国务院《殡葬管理条例》、《广东省民政厅关于广东省2021-2030年安葬（放）设施建设的实施意见》（粤民发〔2021〕124号）等文件精神及有关规定，梅州市丰顺县殡仪馆</w:t>
      </w:r>
      <w:r>
        <w:rPr>
          <w:rFonts w:hint="eastAsia" w:ascii="宋体" w:hAnsi="宋体"/>
          <w:bCs/>
          <w:color w:val="000000"/>
          <w:sz w:val="24"/>
          <w:lang w:val="en-US" w:eastAsia="zh-CN"/>
        </w:rPr>
        <w:t>拟实施丰顺县殡仪馆迁建项目。</w:t>
      </w:r>
    </w:p>
    <w:p>
      <w:pPr>
        <w:snapToGrid w:val="0"/>
        <w:spacing w:beforeAutospacing="0" w:afterAutospacing="0" w:line="360" w:lineRule="auto"/>
        <w:ind w:firstLine="480" w:firstLineChars="200"/>
        <w:rPr>
          <w:rFonts w:hint="eastAsia" w:ascii="宋体" w:hAnsi="宋体" w:eastAsia="宋体"/>
          <w:bCs/>
          <w:color w:val="000000"/>
          <w:sz w:val="24"/>
        </w:rPr>
      </w:pPr>
      <w:r>
        <w:rPr>
          <w:rFonts w:hint="eastAsia" w:ascii="宋体" w:hAnsi="宋体" w:eastAsia="宋体"/>
          <w:bCs/>
          <w:color w:val="000000"/>
          <w:sz w:val="24"/>
        </w:rPr>
        <w:t>项目位于广东省梅州市丰顺县丰良镇兵营村藤坪，项目总用地面积约为26162平方米，新建总建筑面积为10588平方米，包括殡仪馆建筑面积3146平方米，骨灰楼（新建）1500平方米，综合服务楼2128平方米，倒班楼及食堂3624平方米，卫生间及配电房160平方米，牌坊楼30平方米。</w:t>
      </w:r>
    </w:p>
    <w:p>
      <w:pPr>
        <w:snapToGrid w:val="0"/>
        <w:spacing w:beforeAutospacing="0" w:afterAutospacing="0" w:line="360" w:lineRule="auto"/>
        <w:ind w:firstLine="480" w:firstLineChars="200"/>
        <w:rPr>
          <w:rFonts w:hint="eastAsia" w:ascii="宋体" w:hAnsi="宋体" w:eastAsia="宋体"/>
          <w:bCs/>
          <w:color w:val="000000"/>
          <w:sz w:val="24"/>
        </w:rPr>
      </w:pPr>
      <w:r>
        <w:rPr>
          <w:rFonts w:hint="eastAsia" w:ascii="宋体" w:hAnsi="宋体" w:eastAsia="宋体"/>
          <w:bCs/>
          <w:color w:val="000000"/>
          <w:sz w:val="24"/>
        </w:rPr>
        <w:t>本项目总投资7500.21万元。资金来源</w:t>
      </w:r>
      <w:r>
        <w:rPr>
          <w:rFonts w:hint="eastAsia" w:ascii="宋体" w:hAnsi="宋体" w:eastAsia="宋体"/>
          <w:bCs/>
          <w:color w:val="000000"/>
          <w:sz w:val="24"/>
          <w:lang w:eastAsia="zh-CN"/>
        </w:rPr>
        <w:t>申报中央预算内资金和地方政府专项债券</w:t>
      </w:r>
      <w:r>
        <w:rPr>
          <w:rFonts w:hint="eastAsia" w:ascii="宋体" w:hAnsi="宋体" w:eastAsia="宋体"/>
          <w:bCs/>
          <w:color w:val="000000"/>
          <w:sz w:val="24"/>
        </w:rPr>
        <w:t>，</w:t>
      </w:r>
      <w:r>
        <w:rPr>
          <w:rFonts w:hint="eastAsia" w:ascii="宋体" w:hAnsi="宋体" w:eastAsia="宋体"/>
          <w:bCs/>
          <w:color w:val="000000"/>
          <w:sz w:val="24"/>
          <w:lang w:eastAsia="zh-CN"/>
        </w:rPr>
        <w:t>不足部分自筹。</w:t>
      </w:r>
      <w:r>
        <w:rPr>
          <w:rFonts w:hint="eastAsia" w:ascii="宋体" w:hAnsi="宋体" w:eastAsia="宋体"/>
          <w:bCs/>
          <w:color w:val="000000"/>
          <w:sz w:val="24"/>
        </w:rPr>
        <w:t>本项目计划在2022年7月～202</w:t>
      </w:r>
      <w:r>
        <w:rPr>
          <w:rFonts w:hint="eastAsia" w:ascii="宋体" w:hAnsi="宋体" w:eastAsia="宋体"/>
          <w:bCs/>
          <w:color w:val="000000"/>
          <w:sz w:val="24"/>
          <w:lang w:val="en-US" w:eastAsia="zh-CN"/>
        </w:rPr>
        <w:t>4</w:t>
      </w:r>
      <w:r>
        <w:rPr>
          <w:rFonts w:hint="eastAsia" w:ascii="宋体" w:hAnsi="宋体" w:eastAsia="宋体"/>
          <w:bCs/>
          <w:color w:val="000000"/>
          <w:sz w:val="24"/>
        </w:rPr>
        <w:t>年12月全部完成，建设工期为18个月。</w:t>
      </w:r>
    </w:p>
    <w:p>
      <w:pPr>
        <w:snapToGrid w:val="0"/>
        <w:spacing w:beforeAutospacing="0" w:afterAutospacing="0" w:line="360" w:lineRule="auto"/>
        <w:ind w:firstLine="480" w:firstLineChars="200"/>
        <w:jc w:val="left"/>
        <w:rPr>
          <w:rFonts w:hint="eastAsia" w:ascii="宋体" w:hAnsi="宋体"/>
          <w:bCs/>
          <w:color w:val="000000"/>
          <w:sz w:val="24"/>
          <w:lang w:val="en-US" w:eastAsia="zh-CN"/>
        </w:rPr>
      </w:pPr>
      <w:r>
        <w:rPr>
          <w:rFonts w:hint="eastAsia" w:ascii="宋体" w:hAnsi="宋体"/>
          <w:bCs/>
          <w:color w:val="000000"/>
          <w:sz w:val="24"/>
          <w:lang w:val="en-US" w:eastAsia="zh-CN"/>
        </w:rPr>
        <w:t>本</w:t>
      </w:r>
      <w:r>
        <w:rPr>
          <w:rFonts w:hint="eastAsia" w:ascii="宋体" w:hAnsi="宋体"/>
          <w:bCs/>
          <w:color w:val="000000"/>
          <w:sz w:val="24"/>
        </w:rPr>
        <w:t>项目是一项民生工程，可解决</w:t>
      </w:r>
      <w:r>
        <w:rPr>
          <w:rFonts w:hint="eastAsia" w:ascii="宋体" w:hAnsi="宋体"/>
          <w:bCs/>
          <w:color w:val="000000"/>
          <w:sz w:val="24"/>
          <w:lang w:val="en-US" w:eastAsia="zh-CN"/>
        </w:rPr>
        <w:t>丰顺</w:t>
      </w:r>
      <w:r>
        <w:rPr>
          <w:rFonts w:hint="eastAsia" w:ascii="宋体" w:hAnsi="宋体"/>
          <w:bCs/>
          <w:color w:val="000000"/>
          <w:sz w:val="24"/>
        </w:rPr>
        <w:t>县殡仪设施落后的状况，力争早日完成项目建成，更好地满足人民群众殡葬基本公共服务需求。</w:t>
      </w:r>
    </w:p>
    <w:p>
      <w:pPr>
        <w:spacing w:beforeAutospacing="0" w:afterAutospacing="0" w:line="360" w:lineRule="auto"/>
        <w:ind w:firstLine="482" w:firstLineChars="200"/>
        <w:rPr>
          <w:rFonts w:hint="eastAsia"/>
          <w:b/>
          <w:bCs/>
          <w:kern w:val="0"/>
          <w:sz w:val="24"/>
        </w:rPr>
      </w:pPr>
      <w:r>
        <w:rPr>
          <w:rFonts w:hint="eastAsia"/>
          <w:b/>
          <w:bCs/>
          <w:kern w:val="0"/>
          <w:sz w:val="24"/>
        </w:rPr>
        <w:t>根据《国家发展改革委关于印发国家发展改革委重大固定资产投资项目社会稳定风险评估暂行办法的通知》（发改投资[2012]2492号）、《广东省发展改革委关于印发重大项目社会稳定风险评估暂行办法的通知》（粤发改重点[2012]1095号）的相关要求，由于本项目影响广泛，应当进行社会稳定风险评估。为促进科学决策、民主决策、依法决策，预防和化解社会矛盾，使工程建设尽可能趋利避害，取得良好的社会效益，确保公众的利益，如果您有任何意见及建议，可通过电话、邮件、传真等多种渠道进行反馈，我们十分重视您的意见与建议。</w:t>
      </w:r>
    </w:p>
    <w:p>
      <w:pPr>
        <w:spacing w:beforeAutospacing="0" w:afterAutospacing="0" w:line="360" w:lineRule="auto"/>
        <w:ind w:firstLine="482" w:firstLineChars="200"/>
        <w:jc w:val="left"/>
        <w:outlineLvl w:val="0"/>
        <w:rPr>
          <w:rFonts w:hint="eastAsia"/>
          <w:b/>
          <w:bCs/>
          <w:kern w:val="0"/>
          <w:sz w:val="24"/>
        </w:rPr>
      </w:pPr>
      <w:r>
        <w:rPr>
          <w:rFonts w:hint="eastAsia"/>
          <w:b/>
          <w:bCs/>
          <w:kern w:val="0"/>
          <w:sz w:val="24"/>
        </w:rPr>
        <w:t>二、项目建设单位名称和联系方式</w:t>
      </w:r>
    </w:p>
    <w:p>
      <w:pPr>
        <w:spacing w:beforeAutospacing="0" w:afterAutospacing="0" w:line="360" w:lineRule="auto"/>
        <w:ind w:firstLine="480" w:firstLineChars="200"/>
        <w:jc w:val="left"/>
        <w:rPr>
          <w:rFonts w:hint="eastAsia"/>
          <w:kern w:val="0"/>
          <w:sz w:val="24"/>
        </w:rPr>
      </w:pPr>
      <w:r>
        <w:rPr>
          <w:rFonts w:hint="eastAsia"/>
          <w:kern w:val="0"/>
          <w:sz w:val="24"/>
        </w:rPr>
        <w:t>建设单位：</w:t>
      </w:r>
      <w:r>
        <w:rPr>
          <w:rFonts w:hint="eastAsia" w:ascii="宋体" w:hAnsi="宋体"/>
          <w:sz w:val="24"/>
        </w:rPr>
        <w:t>丰顺县殡仪馆</w:t>
      </w:r>
      <w:r>
        <w:rPr>
          <w:rFonts w:hint="eastAsia" w:ascii="宋体" w:hAnsi="宋体"/>
          <w:sz w:val="24"/>
          <w:lang w:val="en-US" w:eastAsia="zh-CN"/>
        </w:rPr>
        <w:t xml:space="preserve">                         </w:t>
      </w:r>
      <w:r>
        <w:rPr>
          <w:rFonts w:hint="eastAsia"/>
          <w:kern w:val="0"/>
          <w:sz w:val="24"/>
        </w:rPr>
        <w:t>通讯地址</w:t>
      </w:r>
      <w:r>
        <w:rPr>
          <w:rFonts w:hint="eastAsia"/>
          <w:color w:val="000000"/>
          <w:kern w:val="0"/>
          <w:sz w:val="24"/>
        </w:rPr>
        <w:t>：丰顺县汤坑镇进华路69号</w:t>
      </w:r>
    </w:p>
    <w:p>
      <w:pPr>
        <w:spacing w:beforeAutospacing="0" w:afterAutospacing="0" w:line="360" w:lineRule="auto"/>
        <w:ind w:firstLine="480" w:firstLineChars="200"/>
        <w:jc w:val="left"/>
        <w:rPr>
          <w:rFonts w:hint="eastAsia"/>
          <w:kern w:val="0"/>
          <w:sz w:val="24"/>
        </w:rPr>
      </w:pPr>
      <w:r>
        <w:rPr>
          <w:rFonts w:hint="eastAsia"/>
          <w:kern w:val="0"/>
          <w:sz w:val="24"/>
        </w:rPr>
        <w:t>联系人：</w:t>
      </w:r>
      <w:r>
        <w:rPr>
          <w:rFonts w:hint="eastAsia"/>
          <w:kern w:val="0"/>
          <w:sz w:val="24"/>
          <w:lang w:val="en-US" w:eastAsia="zh-CN"/>
        </w:rPr>
        <w:t xml:space="preserve">杨向奎                                      </w:t>
      </w:r>
      <w:r>
        <w:rPr>
          <w:rFonts w:hint="eastAsia"/>
          <w:kern w:val="0"/>
          <w:sz w:val="24"/>
        </w:rPr>
        <w:t>邮箱：byg6623181@163.com</w:t>
      </w:r>
    </w:p>
    <w:p>
      <w:pPr>
        <w:spacing w:beforeAutospacing="0" w:afterAutospacing="0" w:line="360" w:lineRule="auto"/>
        <w:ind w:firstLine="482" w:firstLineChars="200"/>
        <w:jc w:val="left"/>
        <w:outlineLvl w:val="0"/>
        <w:rPr>
          <w:rFonts w:hint="eastAsia"/>
          <w:b/>
          <w:bCs/>
          <w:kern w:val="0"/>
          <w:sz w:val="24"/>
        </w:rPr>
      </w:pPr>
      <w:r>
        <w:rPr>
          <w:rFonts w:hint="eastAsia"/>
          <w:b/>
          <w:bCs/>
          <w:kern w:val="0"/>
          <w:sz w:val="24"/>
        </w:rPr>
        <w:t>三、承担社会稳定风险评估工作的咨询机构名称和联系方式</w:t>
      </w:r>
    </w:p>
    <w:p>
      <w:pPr>
        <w:spacing w:beforeAutospacing="0" w:afterAutospacing="0" w:line="360" w:lineRule="auto"/>
        <w:ind w:firstLine="480" w:firstLineChars="200"/>
        <w:jc w:val="left"/>
        <w:rPr>
          <w:kern w:val="0"/>
          <w:sz w:val="24"/>
        </w:rPr>
      </w:pPr>
      <w:r>
        <w:rPr>
          <w:kern w:val="0"/>
          <w:sz w:val="24"/>
        </w:rPr>
        <w:t>咨询机构：</w:t>
      </w:r>
      <w:r>
        <w:rPr>
          <w:rFonts w:hint="eastAsia"/>
          <w:kern w:val="0"/>
          <w:sz w:val="24"/>
        </w:rPr>
        <w:t>广州巴菲特投资咨询有限公司</w:t>
      </w:r>
      <w:r>
        <w:rPr>
          <w:rFonts w:hint="eastAsia"/>
          <w:kern w:val="0"/>
          <w:sz w:val="24"/>
          <w:lang w:val="en-US" w:eastAsia="zh-CN"/>
        </w:rPr>
        <w:t xml:space="preserve">                </w:t>
      </w:r>
      <w:r>
        <w:rPr>
          <w:kern w:val="0"/>
          <w:sz w:val="24"/>
        </w:rPr>
        <w:t>通讯地址：</w:t>
      </w:r>
      <w:r>
        <w:rPr>
          <w:rFonts w:hint="eastAsia"/>
          <w:kern w:val="0"/>
          <w:sz w:val="24"/>
        </w:rPr>
        <w:t>广州市海珠区江晓路宝成街10号A栋1801室</w:t>
      </w:r>
    </w:p>
    <w:p>
      <w:pPr>
        <w:spacing w:beforeAutospacing="0" w:afterAutospacing="0" w:line="360" w:lineRule="auto"/>
        <w:ind w:firstLine="480" w:firstLineChars="200"/>
        <w:jc w:val="left"/>
        <w:rPr>
          <w:kern w:val="0"/>
          <w:sz w:val="24"/>
        </w:rPr>
      </w:pPr>
      <w:r>
        <w:rPr>
          <w:kern w:val="0"/>
          <w:sz w:val="24"/>
        </w:rPr>
        <w:t>联系人：</w:t>
      </w:r>
      <w:r>
        <w:rPr>
          <w:rFonts w:hint="eastAsia"/>
          <w:kern w:val="0"/>
          <w:sz w:val="24"/>
        </w:rPr>
        <w:t xml:space="preserve">王经理             </w:t>
      </w:r>
      <w:r>
        <w:rPr>
          <w:kern w:val="0"/>
          <w:sz w:val="24"/>
        </w:rPr>
        <w:t>电话：</w:t>
      </w:r>
      <w:r>
        <w:rPr>
          <w:rFonts w:hint="eastAsia"/>
          <w:kern w:val="0"/>
          <w:sz w:val="24"/>
        </w:rPr>
        <w:t>020-34392366</w:t>
      </w:r>
    </w:p>
    <w:p>
      <w:pPr>
        <w:spacing w:beforeAutospacing="0" w:afterAutospacing="0" w:line="360" w:lineRule="auto"/>
        <w:ind w:firstLine="480" w:firstLineChars="200"/>
        <w:jc w:val="left"/>
        <w:rPr>
          <w:kern w:val="0"/>
          <w:sz w:val="24"/>
        </w:rPr>
      </w:pPr>
      <w:r>
        <w:rPr>
          <w:kern w:val="0"/>
          <w:sz w:val="24"/>
        </w:rPr>
        <w:t>传真：020-84051161</w:t>
      </w:r>
      <w:r>
        <w:rPr>
          <w:rFonts w:hint="eastAsia"/>
          <w:kern w:val="0"/>
          <w:sz w:val="24"/>
        </w:rPr>
        <w:t xml:space="preserve">          </w:t>
      </w:r>
      <w:r>
        <w:rPr>
          <w:kern w:val="0"/>
          <w:sz w:val="24"/>
        </w:rPr>
        <w:t>邮箱：gzbuffet@126.com</w:t>
      </w:r>
    </w:p>
    <w:p>
      <w:pPr>
        <w:spacing w:beforeAutospacing="0" w:afterAutospacing="0" w:line="360" w:lineRule="auto"/>
        <w:ind w:firstLine="482" w:firstLineChars="200"/>
        <w:jc w:val="left"/>
        <w:outlineLvl w:val="0"/>
        <w:rPr>
          <w:rFonts w:hint="eastAsia"/>
          <w:b/>
          <w:bCs/>
          <w:kern w:val="0"/>
          <w:sz w:val="24"/>
        </w:rPr>
      </w:pPr>
      <w:r>
        <w:rPr>
          <w:rFonts w:hint="eastAsia"/>
          <w:b/>
          <w:bCs/>
          <w:kern w:val="0"/>
          <w:sz w:val="24"/>
        </w:rPr>
        <w:t>四、社会稳定风险评估的工作程序和工作内容</w:t>
      </w:r>
    </w:p>
    <w:p>
      <w:pPr>
        <w:spacing w:beforeAutospacing="0" w:afterAutospacing="0" w:line="360" w:lineRule="auto"/>
        <w:ind w:firstLine="480" w:firstLineChars="200"/>
        <w:jc w:val="left"/>
        <w:rPr>
          <w:rFonts w:hint="eastAsia"/>
          <w:kern w:val="0"/>
          <w:sz w:val="24"/>
        </w:rPr>
      </w:pPr>
      <w:r>
        <w:rPr>
          <w:rFonts w:hint="eastAsia"/>
          <w:kern w:val="0"/>
          <w:sz w:val="24"/>
        </w:rPr>
        <w:t>1、识别项目自身存在的风险因素。</w:t>
      </w:r>
    </w:p>
    <w:p>
      <w:pPr>
        <w:spacing w:beforeAutospacing="0" w:afterAutospacing="0" w:line="360" w:lineRule="auto"/>
        <w:ind w:firstLine="480" w:firstLineChars="200"/>
        <w:jc w:val="left"/>
        <w:rPr>
          <w:rFonts w:hint="eastAsia"/>
          <w:kern w:val="0"/>
          <w:sz w:val="24"/>
        </w:rPr>
      </w:pPr>
      <w:r>
        <w:rPr>
          <w:rFonts w:hint="eastAsia"/>
          <w:kern w:val="0"/>
          <w:sz w:val="24"/>
        </w:rPr>
        <w:t>2、对项目建设的合理性、合法性、可行性和可控性进行评估。</w:t>
      </w:r>
    </w:p>
    <w:p>
      <w:pPr>
        <w:spacing w:beforeAutospacing="0" w:afterAutospacing="0" w:line="360" w:lineRule="auto"/>
        <w:ind w:firstLine="480" w:firstLineChars="200"/>
        <w:jc w:val="left"/>
        <w:rPr>
          <w:rFonts w:hint="eastAsia"/>
          <w:kern w:val="0"/>
          <w:sz w:val="24"/>
        </w:rPr>
      </w:pPr>
      <w:r>
        <w:rPr>
          <w:rFonts w:hint="eastAsia"/>
          <w:kern w:val="0"/>
          <w:sz w:val="24"/>
        </w:rPr>
        <w:t>3、对可能导致社会稳定风险的因素评估。</w:t>
      </w:r>
    </w:p>
    <w:p>
      <w:pPr>
        <w:spacing w:beforeAutospacing="0" w:afterAutospacing="0" w:line="360" w:lineRule="auto"/>
        <w:ind w:firstLine="480" w:firstLineChars="200"/>
        <w:jc w:val="left"/>
        <w:rPr>
          <w:rFonts w:hint="eastAsia"/>
          <w:kern w:val="0"/>
          <w:sz w:val="24"/>
        </w:rPr>
      </w:pPr>
      <w:r>
        <w:rPr>
          <w:rFonts w:hint="eastAsia"/>
          <w:kern w:val="0"/>
          <w:sz w:val="24"/>
        </w:rPr>
        <w:t>4、对本项目的社会稳定风险进行评级，提出改进措施或项目实施建议。</w:t>
      </w:r>
    </w:p>
    <w:p>
      <w:pPr>
        <w:spacing w:beforeAutospacing="0" w:afterAutospacing="0" w:line="360" w:lineRule="auto"/>
        <w:ind w:firstLine="482" w:firstLineChars="200"/>
        <w:jc w:val="left"/>
        <w:outlineLvl w:val="0"/>
        <w:rPr>
          <w:rFonts w:hint="eastAsia"/>
          <w:b/>
          <w:bCs/>
          <w:kern w:val="0"/>
          <w:sz w:val="24"/>
        </w:rPr>
      </w:pPr>
      <w:r>
        <w:rPr>
          <w:rFonts w:hint="eastAsia"/>
          <w:b/>
          <w:bCs/>
          <w:kern w:val="0"/>
          <w:sz w:val="24"/>
        </w:rPr>
        <w:t>五、征求公众意见的主要方式和截止日期</w:t>
      </w:r>
    </w:p>
    <w:p>
      <w:pPr>
        <w:spacing w:beforeAutospacing="0" w:afterAutospacing="0" w:line="360" w:lineRule="auto"/>
        <w:ind w:firstLine="480" w:firstLineChars="200"/>
        <w:jc w:val="left"/>
        <w:rPr>
          <w:rFonts w:hint="eastAsia"/>
          <w:kern w:val="0"/>
          <w:sz w:val="24"/>
        </w:rPr>
      </w:pPr>
      <w:r>
        <w:rPr>
          <w:rFonts w:hint="eastAsia"/>
          <w:kern w:val="0"/>
          <w:sz w:val="24"/>
        </w:rPr>
        <w:t>1、主要方式</w:t>
      </w:r>
    </w:p>
    <w:p>
      <w:pPr>
        <w:spacing w:beforeAutospacing="0" w:afterAutospacing="0" w:line="360" w:lineRule="auto"/>
        <w:ind w:firstLine="480" w:firstLineChars="200"/>
        <w:jc w:val="left"/>
        <w:rPr>
          <w:rFonts w:hint="eastAsia"/>
          <w:kern w:val="0"/>
          <w:sz w:val="24"/>
        </w:rPr>
      </w:pPr>
      <w:r>
        <w:rPr>
          <w:rFonts w:hint="eastAsia"/>
          <w:kern w:val="0"/>
          <w:sz w:val="24"/>
        </w:rPr>
        <w:t>公众可以通过信函、电话、电子邮件、传真等方式向上述项目建设单位和咨询机构提出自己的意见。</w:t>
      </w:r>
    </w:p>
    <w:p>
      <w:pPr>
        <w:spacing w:beforeAutospacing="0" w:afterAutospacing="0" w:line="360" w:lineRule="auto"/>
        <w:ind w:firstLine="480" w:firstLineChars="200"/>
        <w:jc w:val="left"/>
        <w:rPr>
          <w:rFonts w:hint="eastAsia"/>
          <w:kern w:val="0"/>
          <w:sz w:val="24"/>
        </w:rPr>
      </w:pPr>
      <w:r>
        <w:rPr>
          <w:rFonts w:hint="eastAsia"/>
          <w:kern w:val="0"/>
          <w:sz w:val="24"/>
        </w:rPr>
        <w:t>2、截止日期</w:t>
      </w:r>
    </w:p>
    <w:p>
      <w:pPr>
        <w:spacing w:beforeAutospacing="0" w:afterAutospacing="0" w:line="360" w:lineRule="auto"/>
        <w:ind w:firstLine="480" w:firstLineChars="200"/>
        <w:jc w:val="left"/>
        <w:rPr>
          <w:rFonts w:hint="eastAsia"/>
          <w:kern w:val="0"/>
          <w:sz w:val="24"/>
        </w:rPr>
      </w:pPr>
      <w:r>
        <w:rPr>
          <w:rFonts w:hint="eastAsia"/>
          <w:kern w:val="0"/>
          <w:sz w:val="24"/>
        </w:rPr>
        <w:t>本公示有效期为自公告之日起</w:t>
      </w:r>
      <w:r>
        <w:rPr>
          <w:rFonts w:hint="eastAsia"/>
          <w:kern w:val="0"/>
          <w:sz w:val="24"/>
          <w:lang w:val="en-US" w:eastAsia="zh-CN"/>
        </w:rPr>
        <w:t>7</w:t>
      </w:r>
      <w:r>
        <w:rPr>
          <w:rFonts w:hint="eastAsia"/>
          <w:kern w:val="0"/>
          <w:sz w:val="24"/>
        </w:rPr>
        <w:t>个工作日内。</w:t>
      </w:r>
      <w:bookmarkStart w:id="0" w:name="_GoBack"/>
      <w:bookmarkEnd w:id="0"/>
    </w:p>
    <w:p>
      <w:pPr>
        <w:spacing w:beforeAutospacing="0" w:afterAutospacing="0" w:line="360" w:lineRule="auto"/>
        <w:ind w:right="480"/>
        <w:rPr>
          <w:rFonts w:hint="eastAsia"/>
          <w:kern w:val="0"/>
          <w:sz w:val="24"/>
        </w:rPr>
      </w:pPr>
    </w:p>
    <w:p>
      <w:pPr>
        <w:spacing w:beforeAutospacing="0" w:afterAutospacing="0" w:line="360" w:lineRule="auto"/>
        <w:ind w:firstLine="480" w:firstLineChars="200"/>
        <w:jc w:val="right"/>
        <w:rPr>
          <w:kern w:val="0"/>
          <w:sz w:val="24"/>
        </w:rPr>
      </w:pPr>
    </w:p>
    <w:p>
      <w:pPr>
        <w:wordWrap w:val="0"/>
        <w:spacing w:beforeAutospacing="0" w:afterAutospacing="0" w:line="360" w:lineRule="auto"/>
        <w:ind w:firstLine="480" w:firstLineChars="200"/>
        <w:jc w:val="right"/>
        <w:rPr>
          <w:rFonts w:hint="eastAsia"/>
          <w:kern w:val="0"/>
          <w:sz w:val="24"/>
        </w:rPr>
      </w:pPr>
      <w:r>
        <w:rPr>
          <w:rFonts w:hint="eastAsia"/>
          <w:kern w:val="0"/>
          <w:sz w:val="24"/>
        </w:rPr>
        <w:t>广州巴菲特投资咨询有限公司</w:t>
      </w:r>
    </w:p>
    <w:p>
      <w:pPr>
        <w:wordWrap w:val="0"/>
        <w:spacing w:beforeAutospacing="0" w:afterAutospacing="0" w:line="360" w:lineRule="auto"/>
        <w:ind w:firstLine="480" w:firstLineChars="200"/>
        <w:jc w:val="right"/>
        <w:rPr>
          <w:rFonts w:hint="eastAsia"/>
          <w:kern w:val="0"/>
          <w:sz w:val="24"/>
        </w:rPr>
      </w:pPr>
      <w:r>
        <w:rPr>
          <w:rFonts w:hint="eastAsia"/>
          <w:kern w:val="0"/>
          <w:sz w:val="24"/>
        </w:rPr>
        <w:t>20</w:t>
      </w:r>
      <w:r>
        <w:rPr>
          <w:rFonts w:hint="eastAsia"/>
          <w:kern w:val="0"/>
          <w:sz w:val="24"/>
          <w:lang w:val="en-US" w:eastAsia="zh-CN"/>
        </w:rPr>
        <w:t>23</w:t>
      </w:r>
      <w:r>
        <w:rPr>
          <w:rFonts w:hint="eastAsia"/>
          <w:kern w:val="0"/>
          <w:sz w:val="24"/>
        </w:rPr>
        <w:t>年01月1</w:t>
      </w:r>
      <w:r>
        <w:rPr>
          <w:rFonts w:hint="eastAsia"/>
          <w:kern w:val="0"/>
          <w:sz w:val="24"/>
          <w:lang w:val="en-US" w:eastAsia="zh-CN"/>
        </w:rPr>
        <w:t>2</w:t>
      </w:r>
      <w:r>
        <w:rPr>
          <w:rFonts w:hint="eastAsia"/>
          <w:kern w:val="0"/>
          <w:sz w:val="24"/>
        </w:rPr>
        <w:t>日</w:t>
      </w:r>
    </w:p>
    <w:sectPr>
      <w:headerReference r:id="rId3" w:type="default"/>
      <w:pgSz w:w="16839" w:h="23814"/>
      <w:pgMar w:top="568" w:right="1800" w:bottom="85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M2FkOTFhOTRjNmMxMjQ1ZjEzMTFkM2UxNGI0MWIifQ=="/>
  </w:docVars>
  <w:rsids>
    <w:rsidRoot w:val="00000000"/>
    <w:rsid w:val="45080027"/>
    <w:rsid w:val="6E0F65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style>
  <w:style w:type="paragraph" w:customStyle="1" w:styleId="6">
    <w:name w:val="正文文本1"/>
    <w:basedOn w:val="1"/>
    <w:qFormat/>
    <w:uiPriority w:val="0"/>
    <w:pPr>
      <w:spacing w:beforeAutospacing="0" w:after="120" w:afterAutospacing="0"/>
    </w:pPr>
  </w:style>
  <w:style w:type="paragraph" w:customStyle="1" w:styleId="7">
    <w:name w:val="标题1"/>
    <w:basedOn w:val="1"/>
    <w:uiPriority w:val="0"/>
    <w:pPr>
      <w:spacing w:before="50" w:beforeAutospacing="0" w:after="50" w:afterAutospacing="0"/>
      <w:jc w:val="center"/>
      <w:outlineLvl w:val="0"/>
    </w:pPr>
    <w:rPr>
      <w:b/>
      <w:bCs/>
      <w:sz w:val="28"/>
      <w:szCs w:val="32"/>
    </w:rPr>
  </w:style>
  <w:style w:type="paragraph" w:customStyle="1" w:styleId="8">
    <w:name w:val="文档结构图1"/>
    <w:basedOn w:val="1"/>
    <w:semiHidden/>
    <w:uiPriority w:val="0"/>
    <w:pPr>
      <w:shd w:val="clear" w:color="auto" w:fill="000080"/>
    </w:pPr>
  </w:style>
  <w:style w:type="paragraph" w:customStyle="1" w:styleId="9">
    <w:name w:val="批注文字1"/>
    <w:basedOn w:val="1"/>
    <w:semiHidden/>
    <w:uiPriority w:val="0"/>
    <w:pPr>
      <w:jc w:val="left"/>
    </w:pPr>
  </w:style>
  <w:style w:type="paragraph" w:customStyle="1" w:styleId="10">
    <w:name w:val="纯文本1"/>
    <w:basedOn w:val="1"/>
    <w:link w:val="11"/>
    <w:uiPriority w:val="0"/>
    <w:rPr>
      <w:rFonts w:ascii="宋体" w:hAnsi="Courier New"/>
      <w:szCs w:val="20"/>
    </w:rPr>
  </w:style>
  <w:style w:type="character" w:customStyle="1" w:styleId="11">
    <w:name w:val="纯文本 字符"/>
    <w:link w:val="10"/>
    <w:uiPriority w:val="0"/>
    <w:rPr>
      <w:rFonts w:ascii="宋体" w:hAnsi="Courier New" w:eastAsia="宋体"/>
      <w:kern w:val="2"/>
      <w:sz w:val="21"/>
      <w:lang w:val="en-US" w:eastAsia="zh-CN" w:bidi="ar-SA"/>
    </w:rPr>
  </w:style>
  <w:style w:type="paragraph" w:customStyle="1" w:styleId="12">
    <w:name w:val="日期1"/>
    <w:basedOn w:val="1"/>
    <w:link w:val="13"/>
    <w:uiPriority w:val="0"/>
    <w:pPr>
      <w:ind w:left="100" w:leftChars="2500"/>
    </w:pPr>
  </w:style>
  <w:style w:type="character" w:customStyle="1" w:styleId="13">
    <w:name w:val="日期 字符"/>
    <w:link w:val="12"/>
    <w:uiPriority w:val="0"/>
    <w:rPr>
      <w:kern w:val="2"/>
      <w:sz w:val="21"/>
      <w:szCs w:val="24"/>
    </w:rPr>
  </w:style>
  <w:style w:type="paragraph" w:customStyle="1" w:styleId="14">
    <w:name w:val="批注框文本1"/>
    <w:basedOn w:val="1"/>
    <w:semiHidden/>
    <w:uiPriority w:val="0"/>
    <w:rPr>
      <w:sz w:val="18"/>
      <w:szCs w:val="18"/>
    </w:rPr>
  </w:style>
  <w:style w:type="paragraph" w:customStyle="1" w:styleId="15">
    <w:name w:val="页脚1"/>
    <w:basedOn w:val="1"/>
    <w:uiPriority w:val="0"/>
    <w:pPr>
      <w:tabs>
        <w:tab w:val="center" w:pos="4153"/>
        <w:tab w:val="right" w:pos="8306"/>
      </w:tabs>
      <w:snapToGrid w:val="0"/>
      <w:jc w:val="left"/>
    </w:pPr>
    <w:rPr>
      <w:sz w:val="18"/>
      <w:szCs w:val="18"/>
    </w:rPr>
  </w:style>
  <w:style w:type="paragraph" w:customStyle="1" w:styleId="16">
    <w:name w:val="页眉1"/>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17">
    <w:name w:val="批注主题1"/>
    <w:basedOn w:val="9"/>
    <w:semiHidden/>
    <w:uiPriority w:val="0"/>
    <w:rPr>
      <w:b/>
      <w:bCs/>
    </w:rPr>
  </w:style>
  <w:style w:type="character" w:customStyle="1" w:styleId="18">
    <w:name w:val="超链接1"/>
    <w:link w:val="1"/>
    <w:uiPriority w:val="0"/>
    <w:rPr>
      <w:color w:val="0000FF"/>
      <w:u w:val="single"/>
    </w:rPr>
  </w:style>
  <w:style w:type="character" w:customStyle="1" w:styleId="19">
    <w:name w:val="批注引用1"/>
    <w:link w:val="1"/>
    <w:semiHidden/>
    <w:uiPriority w:val="0"/>
    <w:rPr>
      <w:sz w:val="21"/>
      <w:szCs w:val="21"/>
    </w:rPr>
  </w:style>
  <w:style w:type="paragraph" w:customStyle="1" w:styleId="20">
    <w:name w:val=" Char1"/>
    <w:basedOn w:val="1"/>
    <w:uiPriority w:val="0"/>
    <w:pPr>
      <w:snapToGrid w:val="0"/>
      <w:spacing w:beforeAutospacing="0" w:afterAutospacing="0" w:line="360" w:lineRule="auto"/>
    </w:pPr>
    <w:rPr>
      <w:rFonts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1057</Words>
  <Characters>1202</Characters>
  <Lines>0</Lines>
  <Paragraphs>0</Paragraphs>
  <TotalTime>4</TotalTime>
  <ScaleCrop>false</ScaleCrop>
  <LinksUpToDate>false</LinksUpToDate>
  <CharactersWithSpaces>1304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2023-01-12T01:42:00Z</dcterms:created>
  <dc:creator>酒自斟</dc:creator>
  <cp:lastModifiedBy>酒自斟</cp:lastModifiedBy>
  <cp:lastPrinted>2023-01-13T00:59:07Z</cp:lastPrinted>
  <dcterms:modified xsi:type="dcterms:W3CDTF">2023-01-13T00:59:33Z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5F4738F5FBF94160B2541A642FE77ACC</vt:lpwstr>
  </property>
</Properties>
</file>