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《丰顺新区生态工业园控制性详细规划》B03、B10、B11、B12、B13、C01及G01、G02、G04、G05地块调整方案</w:t>
      </w:r>
    </w:p>
    <w:p>
      <w:pPr>
        <w:pStyle w:val="2"/>
        <w:spacing w:line="360" w:lineRule="auto"/>
        <w:jc w:val="center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公示文件</w:t>
      </w:r>
      <w:bookmarkStart w:id="0" w:name="_GoBack"/>
      <w:bookmarkEnd w:id="0"/>
    </w:p>
    <w:p>
      <w:pPr>
        <w:pStyle w:val="3"/>
        <w:spacing w:before="120" w:after="120" w:line="360" w:lineRule="auto"/>
        <w:rPr>
          <w:rFonts w:hint="eastAsia"/>
        </w:rPr>
      </w:pPr>
      <w:r>
        <w:rPr>
          <w:rFonts w:hint="eastAsia"/>
        </w:rPr>
        <w:t>一、项目概况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本次调整范围为丰顺新区生态工业园 B03、B10、B11、B12、B13、C01及G01、G02、G04、G05地块,位于丰顺新区生态工业园东北部和中部,涉及调整面积约31.86公顷。</w:t>
      </w:r>
    </w:p>
    <w:p>
      <w:pPr>
        <w:pStyle w:val="3"/>
        <w:spacing w:before="120" w:after="120" w:line="360" w:lineRule="auto"/>
        <w:rPr>
          <w:rFonts w:hint="eastAsia"/>
        </w:rPr>
      </w:pPr>
      <w:r>
        <w:rPr>
          <w:rFonts w:hint="eastAsia"/>
        </w:rPr>
        <w:t>二、调整的原因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1、为加快推进丰顺实验小学埔寨园区校区、埔寨园区幼儿园项目建设，完善园区功能配套，提升园区承载能力，需对规划道路以及部分地块用地性质和指标进行调整，为项目落地做好规划保障。</w:t>
      </w:r>
    </w:p>
    <w:p>
      <w:pPr>
        <w:pStyle w:val="7"/>
        <w:spacing w:before="0" w:beforeAutospacing="0" w:after="0" w:afterAutospacing="0" w:line="360" w:lineRule="auto"/>
        <w:ind w:firstLine="480" w:firstLineChars="200"/>
        <w:rPr>
          <w:rFonts w:hint="eastAsia" w:cstheme="minorBidi"/>
          <w:kern w:val="2"/>
        </w:rPr>
      </w:pPr>
      <w:r>
        <w:rPr>
          <w:rFonts w:hint="eastAsia" w:cstheme="minorBidi"/>
          <w:kern w:val="2"/>
        </w:rPr>
        <w:t>2、加强园区道路建设的可实施性，完善园区路网结构。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3、衔接启用版“三区三线”数据，避让底线要素，落实城镇建设用地边界，对单元内局部道路线型和地块边界进行优化，保证项目可实施性。</w:t>
      </w:r>
    </w:p>
    <w:p>
      <w:pPr>
        <w:pStyle w:val="3"/>
        <w:spacing w:before="120" w:after="120" w:line="360" w:lineRule="auto"/>
        <w:rPr>
          <w:rFonts w:hint="eastAsia"/>
        </w:rPr>
      </w:pPr>
      <w:r>
        <w:rPr>
          <w:rFonts w:hint="eastAsia"/>
        </w:rPr>
        <w:t>三、调整的可行性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调整后，对部分地块边界及道路线型进行调整，使得项目实施性更强；落实近期建设重点项目，切实加快片区发展。总体来讲规划调整将对片区未来开发带来积极影响。</w:t>
      </w:r>
    </w:p>
    <w:p>
      <w:pPr>
        <w:pStyle w:val="3"/>
        <w:spacing w:before="120" w:after="120" w:line="360" w:lineRule="auto"/>
        <w:rPr>
          <w:rFonts w:hint="eastAsia"/>
        </w:rPr>
      </w:pPr>
      <w:r>
        <w:rPr>
          <w:rFonts w:hint="eastAsia"/>
        </w:rPr>
        <w:t>四、调整内容</w:t>
      </w:r>
    </w:p>
    <w:p>
      <w:pPr>
        <w:spacing w:line="360" w:lineRule="auto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（一）、用地的调整(B03、B10、B11、B12、B13、C01地块)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1、调整前居住用地（07）17.11公顷，调整后为6.13公顷，减少了10.98公顷。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2、调整前公共管理与公共服务用地（08）2.38公顷，调整后为5.58公顷，增加了3.20公顷。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3、调整前道路与交通设施用地（12）2.21公顷，调整后为1.95公顷，减少了0.26公顷。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4、调整前绿地与广场用地（14）0公顷，调整后为1.04公顷，增加了1.04公顷。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5、调整前后城镇建设用地减少7.00公顷。</w:t>
      </w:r>
    </w:p>
    <w:p>
      <w:pPr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表1：</w:t>
      </w:r>
      <w:r>
        <w:rPr>
          <w:rFonts w:ascii="宋体" w:hAnsi="宋体" w:eastAsia="宋体"/>
          <w:sz w:val="24"/>
          <w:szCs w:val="24"/>
        </w:rPr>
        <w:t>用地</w:t>
      </w:r>
      <w:r>
        <w:rPr>
          <w:rFonts w:hint="eastAsia" w:ascii="宋体" w:hAnsi="宋体" w:eastAsia="宋体"/>
          <w:sz w:val="24"/>
          <w:szCs w:val="24"/>
        </w:rPr>
        <w:t>调整对比（B03、B10、B11、B12、B13、C01地块）</w:t>
      </w:r>
    </w:p>
    <w:tbl>
      <w:tblPr>
        <w:tblStyle w:val="8"/>
        <w:tblW w:w="833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3"/>
        <w:gridCol w:w="973"/>
        <w:gridCol w:w="975"/>
        <w:gridCol w:w="2009"/>
        <w:gridCol w:w="1274"/>
        <w:gridCol w:w="1125"/>
        <w:gridCol w:w="100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2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用地代码</w:t>
            </w:r>
          </w:p>
        </w:tc>
        <w:tc>
          <w:tcPr>
            <w:tcW w:w="20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用地名称</w:t>
            </w:r>
          </w:p>
        </w:tc>
        <w:tc>
          <w:tcPr>
            <w:tcW w:w="239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用地面积（公顷）</w:t>
            </w:r>
          </w:p>
        </w:tc>
        <w:tc>
          <w:tcPr>
            <w:tcW w:w="100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调整情况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一级</w:t>
            </w: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二级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三级</w:t>
            </w:r>
          </w:p>
        </w:tc>
        <w:tc>
          <w:tcPr>
            <w:tcW w:w="200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调整前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调整后</w:t>
            </w:r>
          </w:p>
        </w:tc>
        <w:tc>
          <w:tcPr>
            <w:tcW w:w="100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07</w:t>
            </w:r>
          </w:p>
        </w:tc>
        <w:tc>
          <w:tcPr>
            <w:tcW w:w="395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居住用地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17.11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6.13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-10.98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0701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城镇住宅用地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17.11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6.13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-10.98 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08</w:t>
            </w:r>
          </w:p>
        </w:tc>
        <w:tc>
          <w:tcPr>
            <w:tcW w:w="395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公共管理与公共服务用地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2.38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5.58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3.20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0803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文化用地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0.56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0.00 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-0.56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080403</w:t>
            </w: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中小学用地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1.33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5.58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4.25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0805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体育用地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0.49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0.00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-0.49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</w:t>
            </w:r>
          </w:p>
        </w:tc>
        <w:tc>
          <w:tcPr>
            <w:tcW w:w="395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交通运输用地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2.21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1.95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-0.26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1207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城镇村道路用地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1.98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1.95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-0.03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120802</w:t>
            </w: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公共交通场站用地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0.23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0.00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-0.23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</w:t>
            </w:r>
          </w:p>
        </w:tc>
        <w:tc>
          <w:tcPr>
            <w:tcW w:w="395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绿地与开敞空间用地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0.00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1.04 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1.04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7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1401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公园绿地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0.00 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1.04 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 xml:space="preserve">1.04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493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合计</w:t>
            </w:r>
          </w:p>
        </w:tc>
        <w:tc>
          <w:tcPr>
            <w:tcW w:w="1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21.70</w:t>
            </w: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14.70</w:t>
            </w:r>
          </w:p>
        </w:tc>
        <w:tc>
          <w:tcPr>
            <w:tcW w:w="10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-7.00</w:t>
            </w:r>
          </w:p>
        </w:tc>
      </w:tr>
    </w:tbl>
    <w:p>
      <w:pPr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（二）、用地的调整(G01、G02、G04、G05地块)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1、调整前居住用地（07）5.52公顷，调整后为4.98公顷，减少了0.54公顷。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2、调整前工矿用地（10）3.53公顷，调整后为3.57公顷，增加了0.04公顷。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3、调整前交通运输用地（12）1.11公顷，调整后为1.34公顷，增加了0.23公顷。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4、调整前绿地与广场用地（14）0.37公顷，调整后为0.34公顷，减少了0.03公顷。</w:t>
      </w:r>
    </w:p>
    <w:p>
      <w:pPr>
        <w:spacing w:line="360" w:lineRule="auto"/>
        <w:ind w:firstLine="42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/>
        </w:rPr>
        <w:t>5、调整前后城镇建设用地减少了0.30公顷。</w:t>
      </w:r>
    </w:p>
    <w:p>
      <w:pPr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表2：</w:t>
      </w:r>
      <w:r>
        <w:rPr>
          <w:rFonts w:ascii="宋体" w:hAnsi="宋体" w:eastAsia="宋体"/>
          <w:sz w:val="24"/>
          <w:szCs w:val="24"/>
        </w:rPr>
        <w:t>用地</w:t>
      </w:r>
      <w:r>
        <w:rPr>
          <w:rFonts w:hint="eastAsia" w:ascii="宋体" w:hAnsi="宋体" w:eastAsia="宋体"/>
          <w:sz w:val="24"/>
          <w:szCs w:val="24"/>
        </w:rPr>
        <w:t>调整对比（G01、G02、G04、G05地块）</w:t>
      </w:r>
    </w:p>
    <w:tbl>
      <w:tblPr>
        <w:tblStyle w:val="8"/>
        <w:tblW w:w="833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7"/>
        <w:gridCol w:w="977"/>
        <w:gridCol w:w="982"/>
        <w:gridCol w:w="2002"/>
        <w:gridCol w:w="1269"/>
        <w:gridCol w:w="1132"/>
        <w:gridCol w:w="99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293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用地代码</w:t>
            </w:r>
          </w:p>
        </w:tc>
        <w:tc>
          <w:tcPr>
            <w:tcW w:w="200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用地名称</w:t>
            </w:r>
          </w:p>
        </w:tc>
        <w:tc>
          <w:tcPr>
            <w:tcW w:w="240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用地面积（公顷）</w:t>
            </w:r>
          </w:p>
        </w:tc>
        <w:tc>
          <w:tcPr>
            <w:tcW w:w="9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调整情况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一级</w:t>
            </w:r>
          </w:p>
        </w:tc>
        <w:tc>
          <w:tcPr>
            <w:tcW w:w="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二级</w:t>
            </w:r>
          </w:p>
        </w:tc>
        <w:tc>
          <w:tcPr>
            <w:tcW w:w="9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三级</w:t>
            </w:r>
          </w:p>
        </w:tc>
        <w:tc>
          <w:tcPr>
            <w:tcW w:w="200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/>
              </w:rPr>
            </w:pP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调整前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调整后</w:t>
            </w:r>
          </w:p>
        </w:tc>
        <w:tc>
          <w:tcPr>
            <w:tcW w:w="99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07</w:t>
            </w:r>
          </w:p>
        </w:tc>
        <w:tc>
          <w:tcPr>
            <w:tcW w:w="396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居住用地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5.52 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4.98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-0.54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/>
              </w:rPr>
            </w:pPr>
          </w:p>
        </w:tc>
        <w:tc>
          <w:tcPr>
            <w:tcW w:w="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0701</w:t>
            </w:r>
          </w:p>
        </w:tc>
        <w:tc>
          <w:tcPr>
            <w:tcW w:w="9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城镇住宅用地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5.52 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4.98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-0.54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10</w:t>
            </w:r>
          </w:p>
        </w:tc>
        <w:tc>
          <w:tcPr>
            <w:tcW w:w="396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工矿用地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3.53 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3.57 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0.04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/>
              </w:rPr>
            </w:pPr>
          </w:p>
        </w:tc>
        <w:tc>
          <w:tcPr>
            <w:tcW w:w="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</w:p>
        </w:tc>
        <w:tc>
          <w:tcPr>
            <w:tcW w:w="9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100101</w:t>
            </w: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一类工业用地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3.53 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3.57 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0.04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12</w:t>
            </w:r>
          </w:p>
        </w:tc>
        <w:tc>
          <w:tcPr>
            <w:tcW w:w="396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交通运输用地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1.11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1.34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0.23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/>
              </w:rPr>
            </w:pPr>
          </w:p>
        </w:tc>
        <w:tc>
          <w:tcPr>
            <w:tcW w:w="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1207</w:t>
            </w:r>
          </w:p>
        </w:tc>
        <w:tc>
          <w:tcPr>
            <w:tcW w:w="9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城镇村道路用地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1.11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1.34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0.23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14</w:t>
            </w:r>
          </w:p>
        </w:tc>
        <w:tc>
          <w:tcPr>
            <w:tcW w:w="3961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绿地与开敞空间用地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0.37 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0.34 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-0.03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/>
              </w:rPr>
            </w:pPr>
          </w:p>
        </w:tc>
        <w:tc>
          <w:tcPr>
            <w:tcW w:w="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1402</w:t>
            </w:r>
          </w:p>
        </w:tc>
        <w:tc>
          <w:tcPr>
            <w:tcW w:w="9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</w:p>
        </w:tc>
        <w:tc>
          <w:tcPr>
            <w:tcW w:w="20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防护绿地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0.37 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0.34 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 xml:space="preserve">-0.03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493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合计</w:t>
            </w:r>
          </w:p>
        </w:tc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10.53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10.23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7"/>
              <w:jc w:val="center"/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</w:pPr>
            <w:r>
              <w:rPr>
                <w:rFonts w:hint="eastAsia" w:ascii="仿宋" w:hAnsi="仿宋" w:eastAsia="仿宋" w:cstheme="minorBidi"/>
                <w:kern w:val="2"/>
                <w:sz w:val="21"/>
                <w:szCs w:val="22"/>
              </w:rPr>
              <w:t>-0.30</w:t>
            </w:r>
          </w:p>
        </w:tc>
      </w:tr>
    </w:tbl>
    <w:p>
      <w:pPr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（三）、公共服务与市政基础设施的调整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调整后配套设施基本保持不变。</w:t>
      </w:r>
    </w:p>
    <w:p>
      <w:pPr>
        <w:spacing w:line="360" w:lineRule="auto"/>
        <w:ind w:firstLine="480" w:firstLineChars="200"/>
        <w:jc w:val="center"/>
        <w:rPr>
          <w:rFonts w:hint="eastAsia"/>
        </w:rPr>
      </w:pPr>
      <w:r>
        <w:rPr>
          <w:rFonts w:hint="eastAsia" w:ascii="宋体" w:hAnsi="宋体" w:eastAsia="宋体"/>
          <w:sz w:val="24"/>
          <w:szCs w:val="24"/>
        </w:rPr>
        <w:t>表3：公共服务设施与市政基础设施调整对比</w:t>
      </w:r>
    </w:p>
    <w:tbl>
      <w:tblPr>
        <w:tblStyle w:val="8"/>
        <w:tblW w:w="852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4"/>
        <w:gridCol w:w="3426"/>
        <w:gridCol w:w="2400"/>
        <w:gridCol w:w="154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852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  <w:b/>
                <w:bCs/>
              </w:rPr>
              <w:t>配套设施调整前后对比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1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  <w:b/>
                <w:bCs/>
              </w:rPr>
              <w:t>设施种类</w:t>
            </w:r>
          </w:p>
        </w:tc>
        <w:tc>
          <w:tcPr>
            <w:tcW w:w="34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公共服务设施</w:t>
            </w: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市政公用设施</w:t>
            </w:r>
          </w:p>
        </w:tc>
        <w:tc>
          <w:tcPr>
            <w:tcW w:w="15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交通设施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11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修改前</w:t>
            </w:r>
          </w:p>
        </w:tc>
        <w:tc>
          <w:tcPr>
            <w:tcW w:w="34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体育场、</w:t>
            </w:r>
            <w:r>
              <w:rPr>
                <w:rFonts w:ascii="仿宋" w:hAnsi="仿宋" w:eastAsia="仿宋"/>
              </w:rPr>
              <w:t>幼儿园1、居民健身场所1、卫生站1、托老所1、社区文化室1</w:t>
            </w: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污水厂1、公共厕所1、垃圾收集点1</w:t>
            </w:r>
          </w:p>
        </w:tc>
        <w:tc>
          <w:tcPr>
            <w:tcW w:w="15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公共交通场站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11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修改后</w:t>
            </w:r>
          </w:p>
        </w:tc>
        <w:tc>
          <w:tcPr>
            <w:tcW w:w="34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幼儿园1、居民健身场所1、卫生站1、托老所1、社区文化室1</w:t>
            </w: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污水厂1、公共厕所1、垃圾收集点1</w:t>
            </w:r>
          </w:p>
        </w:tc>
        <w:tc>
          <w:tcPr>
            <w:tcW w:w="15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——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1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变化情况</w:t>
            </w:r>
          </w:p>
        </w:tc>
        <w:tc>
          <w:tcPr>
            <w:tcW w:w="34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减少</w:t>
            </w: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ascii="仿宋" w:hAnsi="仿宋" w:eastAsia="仿宋"/>
              </w:rPr>
              <w:t>不变</w:t>
            </w:r>
          </w:p>
        </w:tc>
        <w:tc>
          <w:tcPr>
            <w:tcW w:w="15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减少</w:t>
            </w:r>
          </w:p>
        </w:tc>
      </w:tr>
    </w:tbl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</w:p>
    <w:p>
      <w:p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（四）、调整方案</w:t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6345" cy="6516370"/>
            <wp:effectExtent l="0" t="0" r="0" b="0"/>
            <wp:docPr id="4" name="图片 4" descr="1-BC调整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BC调整前"/>
                    <pic:cNvPicPr>
                      <a:picLocks noChangeAspect="1"/>
                    </pic:cNvPicPr>
                  </pic:nvPicPr>
                  <pic:blipFill>
                    <a:blip r:embed="rId4"/>
                    <a:srcRect l="2013" t="8006" r="2194" b="4494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hint="eastAsia" w:cs="Times New Roman" w:asciiTheme="minorEastAsia" w:hAnsiTheme="minorEastAsia"/>
          <w:szCs w:val="44"/>
        </w:rPr>
        <w:tab/>
      </w:r>
      <w:r>
        <w:rPr>
          <w:rFonts w:hint="eastAsia" w:cs="Times New Roman" w:asciiTheme="minorEastAsia" w:hAnsiTheme="minorEastAsia"/>
          <w:szCs w:val="44"/>
        </w:rPr>
        <w:t>土地使用规划图（B03、B10、B11、B12、B13、C01地块调整前）</w:t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cs="Times New Roman" w:asciiTheme="minorEastAsia" w:hAnsiTheme="minorEastAsia"/>
          <w:szCs w:val="44"/>
        </w:rPr>
        <w:drawing>
          <wp:inline distT="0" distB="0" distL="0" distR="0">
            <wp:extent cx="5038725" cy="6477000"/>
            <wp:effectExtent l="0" t="0" r="9525" b="0"/>
            <wp:docPr id="1927579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7968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hint="eastAsia" w:cs="Times New Roman" w:asciiTheme="minorEastAsia" w:hAnsiTheme="minorEastAsia"/>
          <w:szCs w:val="44"/>
        </w:rPr>
        <w:t>土地使用规划图（B03、B10、B11、B12、B13、C01地块调整后）</w:t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hint="eastAsia"/>
        </w:rPr>
        <w:drawing>
          <wp:inline distT="0" distB="0" distL="114300" distR="114300">
            <wp:extent cx="5029835" cy="6506845"/>
            <wp:effectExtent l="0" t="0" r="0" b="0"/>
            <wp:docPr id="2" name="图片 2" descr="2-G调整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G调整前"/>
                    <pic:cNvPicPr>
                      <a:picLocks noChangeAspect="1"/>
                    </pic:cNvPicPr>
                  </pic:nvPicPr>
                  <pic:blipFill>
                    <a:blip r:embed="rId6"/>
                    <a:srcRect l="2314" t="7896" r="2206" b="473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hint="eastAsia" w:cs="Times New Roman" w:asciiTheme="minorEastAsia" w:hAnsiTheme="minorEastAsia"/>
          <w:szCs w:val="44"/>
        </w:rPr>
        <w:t>土地使用规划图（G01、G02、G04、G05地块调整前）</w:t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hint="eastAsia"/>
        </w:rPr>
        <w:drawing>
          <wp:inline distT="0" distB="0" distL="114300" distR="114300">
            <wp:extent cx="5053965" cy="6510020"/>
            <wp:effectExtent l="0" t="0" r="0" b="0"/>
            <wp:docPr id="3" name="图片 3" descr="2-G调整后 -公示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G调整后 -公示稿"/>
                    <pic:cNvPicPr>
                      <a:picLocks noChangeAspect="1"/>
                    </pic:cNvPicPr>
                  </pic:nvPicPr>
                  <pic:blipFill>
                    <a:blip r:embed="rId7"/>
                    <a:srcRect l="2013" t="8100" r="2049" b="448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cs="Times New Roman" w:asciiTheme="minorEastAsia" w:hAnsiTheme="minorEastAsia"/>
          <w:szCs w:val="44"/>
        </w:rPr>
      </w:pPr>
      <w:r>
        <w:rPr>
          <w:rFonts w:hint="eastAsia" w:cs="Times New Roman" w:asciiTheme="minorEastAsia" w:hAnsiTheme="minorEastAsia"/>
          <w:szCs w:val="44"/>
        </w:rPr>
        <w:t>土地使用规划图（G01、G02、G04、G05地块调整后）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1NTRiNzFjNWE5YWI5MWVhM2YyNTk1ZGY5ZDM1ODEifQ=="/>
  </w:docVars>
  <w:rsids>
    <w:rsidRoot w:val="009046D8"/>
    <w:rsid w:val="00012C40"/>
    <w:rsid w:val="0001387C"/>
    <w:rsid w:val="00017E74"/>
    <w:rsid w:val="00025FF7"/>
    <w:rsid w:val="00036B8A"/>
    <w:rsid w:val="00045958"/>
    <w:rsid w:val="000474AA"/>
    <w:rsid w:val="00052A02"/>
    <w:rsid w:val="00054584"/>
    <w:rsid w:val="000615CA"/>
    <w:rsid w:val="00066CD4"/>
    <w:rsid w:val="00096EF0"/>
    <w:rsid w:val="000B40BB"/>
    <w:rsid w:val="000B5353"/>
    <w:rsid w:val="000B71E5"/>
    <w:rsid w:val="000C56E9"/>
    <w:rsid w:val="000D7287"/>
    <w:rsid w:val="000E2430"/>
    <w:rsid w:val="000E4ABF"/>
    <w:rsid w:val="001132B4"/>
    <w:rsid w:val="001258B1"/>
    <w:rsid w:val="00145709"/>
    <w:rsid w:val="00153D47"/>
    <w:rsid w:val="00155426"/>
    <w:rsid w:val="00163FCF"/>
    <w:rsid w:val="001A1A54"/>
    <w:rsid w:val="002074E0"/>
    <w:rsid w:val="00235A1D"/>
    <w:rsid w:val="002425C8"/>
    <w:rsid w:val="002427B1"/>
    <w:rsid w:val="0024415E"/>
    <w:rsid w:val="00244F50"/>
    <w:rsid w:val="002572C0"/>
    <w:rsid w:val="0026587A"/>
    <w:rsid w:val="00291DAB"/>
    <w:rsid w:val="002D55F7"/>
    <w:rsid w:val="002E49B2"/>
    <w:rsid w:val="00307332"/>
    <w:rsid w:val="0031768A"/>
    <w:rsid w:val="0034678E"/>
    <w:rsid w:val="003523FF"/>
    <w:rsid w:val="0035566B"/>
    <w:rsid w:val="003730B8"/>
    <w:rsid w:val="0039777B"/>
    <w:rsid w:val="003B4FE6"/>
    <w:rsid w:val="003D3991"/>
    <w:rsid w:val="003E2239"/>
    <w:rsid w:val="00413564"/>
    <w:rsid w:val="00417CF4"/>
    <w:rsid w:val="00431A4B"/>
    <w:rsid w:val="00440700"/>
    <w:rsid w:val="00451B7E"/>
    <w:rsid w:val="00475A43"/>
    <w:rsid w:val="0047663F"/>
    <w:rsid w:val="00487366"/>
    <w:rsid w:val="004E0BFB"/>
    <w:rsid w:val="005051B3"/>
    <w:rsid w:val="00512DB8"/>
    <w:rsid w:val="00523084"/>
    <w:rsid w:val="00531790"/>
    <w:rsid w:val="00547ABE"/>
    <w:rsid w:val="00560412"/>
    <w:rsid w:val="00572C74"/>
    <w:rsid w:val="00575DAC"/>
    <w:rsid w:val="00577992"/>
    <w:rsid w:val="005A6919"/>
    <w:rsid w:val="005C4DAD"/>
    <w:rsid w:val="005C51F7"/>
    <w:rsid w:val="005D002A"/>
    <w:rsid w:val="005D58E4"/>
    <w:rsid w:val="005E5FDD"/>
    <w:rsid w:val="005F2111"/>
    <w:rsid w:val="005F4B77"/>
    <w:rsid w:val="00601B57"/>
    <w:rsid w:val="00605A38"/>
    <w:rsid w:val="00614F51"/>
    <w:rsid w:val="0061790E"/>
    <w:rsid w:val="00617B84"/>
    <w:rsid w:val="00626E76"/>
    <w:rsid w:val="00641B24"/>
    <w:rsid w:val="0065755D"/>
    <w:rsid w:val="0067198B"/>
    <w:rsid w:val="00676FBE"/>
    <w:rsid w:val="0069096B"/>
    <w:rsid w:val="006C6B8F"/>
    <w:rsid w:val="006D67D6"/>
    <w:rsid w:val="006E4706"/>
    <w:rsid w:val="006E71CF"/>
    <w:rsid w:val="006F0896"/>
    <w:rsid w:val="006F1760"/>
    <w:rsid w:val="00704D4A"/>
    <w:rsid w:val="0071034D"/>
    <w:rsid w:val="00725563"/>
    <w:rsid w:val="007458C6"/>
    <w:rsid w:val="00761EB5"/>
    <w:rsid w:val="0076389E"/>
    <w:rsid w:val="00766AA1"/>
    <w:rsid w:val="0077409C"/>
    <w:rsid w:val="00777351"/>
    <w:rsid w:val="00777CA2"/>
    <w:rsid w:val="0078530A"/>
    <w:rsid w:val="0079088A"/>
    <w:rsid w:val="007B3FD8"/>
    <w:rsid w:val="007B561D"/>
    <w:rsid w:val="007C0481"/>
    <w:rsid w:val="007C10AF"/>
    <w:rsid w:val="007C2DAA"/>
    <w:rsid w:val="007D09BA"/>
    <w:rsid w:val="007D4F20"/>
    <w:rsid w:val="007D7F60"/>
    <w:rsid w:val="007E2403"/>
    <w:rsid w:val="007F56EB"/>
    <w:rsid w:val="0080325A"/>
    <w:rsid w:val="0085480D"/>
    <w:rsid w:val="00866D49"/>
    <w:rsid w:val="00872560"/>
    <w:rsid w:val="00886603"/>
    <w:rsid w:val="00892F3E"/>
    <w:rsid w:val="008E2FE1"/>
    <w:rsid w:val="00902E8D"/>
    <w:rsid w:val="009046D8"/>
    <w:rsid w:val="00904FBB"/>
    <w:rsid w:val="009102BF"/>
    <w:rsid w:val="00962A51"/>
    <w:rsid w:val="00962FE4"/>
    <w:rsid w:val="009710D4"/>
    <w:rsid w:val="009752CD"/>
    <w:rsid w:val="009821E3"/>
    <w:rsid w:val="00986D46"/>
    <w:rsid w:val="00992D20"/>
    <w:rsid w:val="00997A94"/>
    <w:rsid w:val="009A30AB"/>
    <w:rsid w:val="009A316C"/>
    <w:rsid w:val="009A6A7B"/>
    <w:rsid w:val="009B1D1C"/>
    <w:rsid w:val="009D4C9D"/>
    <w:rsid w:val="00A05F8E"/>
    <w:rsid w:val="00A524D9"/>
    <w:rsid w:val="00A73740"/>
    <w:rsid w:val="00A80A59"/>
    <w:rsid w:val="00A90E72"/>
    <w:rsid w:val="00A92F5E"/>
    <w:rsid w:val="00A93A30"/>
    <w:rsid w:val="00AA5E1A"/>
    <w:rsid w:val="00AD0016"/>
    <w:rsid w:val="00AD2766"/>
    <w:rsid w:val="00AE7772"/>
    <w:rsid w:val="00AE7E04"/>
    <w:rsid w:val="00B12A3F"/>
    <w:rsid w:val="00B15F66"/>
    <w:rsid w:val="00B16C5B"/>
    <w:rsid w:val="00B462E1"/>
    <w:rsid w:val="00B50E27"/>
    <w:rsid w:val="00B53050"/>
    <w:rsid w:val="00B620DA"/>
    <w:rsid w:val="00B8693D"/>
    <w:rsid w:val="00B93B96"/>
    <w:rsid w:val="00B969B5"/>
    <w:rsid w:val="00BB1CED"/>
    <w:rsid w:val="00BB4767"/>
    <w:rsid w:val="00BD4A7F"/>
    <w:rsid w:val="00C0022F"/>
    <w:rsid w:val="00C04F0D"/>
    <w:rsid w:val="00C145B7"/>
    <w:rsid w:val="00C24B28"/>
    <w:rsid w:val="00C32087"/>
    <w:rsid w:val="00C446D2"/>
    <w:rsid w:val="00C650F4"/>
    <w:rsid w:val="00C70708"/>
    <w:rsid w:val="00C849E5"/>
    <w:rsid w:val="00CA60EE"/>
    <w:rsid w:val="00CB18E3"/>
    <w:rsid w:val="00D07CC0"/>
    <w:rsid w:val="00D1107F"/>
    <w:rsid w:val="00D24EBC"/>
    <w:rsid w:val="00D25BEA"/>
    <w:rsid w:val="00D4125A"/>
    <w:rsid w:val="00D45857"/>
    <w:rsid w:val="00D47F69"/>
    <w:rsid w:val="00D50003"/>
    <w:rsid w:val="00D56638"/>
    <w:rsid w:val="00D66C07"/>
    <w:rsid w:val="00D670CA"/>
    <w:rsid w:val="00D91042"/>
    <w:rsid w:val="00D9172E"/>
    <w:rsid w:val="00DB090D"/>
    <w:rsid w:val="00DB4083"/>
    <w:rsid w:val="00DD0A6B"/>
    <w:rsid w:val="00DF22E4"/>
    <w:rsid w:val="00DF74DC"/>
    <w:rsid w:val="00E07FC5"/>
    <w:rsid w:val="00E149CD"/>
    <w:rsid w:val="00E46684"/>
    <w:rsid w:val="00EA2070"/>
    <w:rsid w:val="00EB6C72"/>
    <w:rsid w:val="00EC7DDA"/>
    <w:rsid w:val="00ED07FD"/>
    <w:rsid w:val="00ED090F"/>
    <w:rsid w:val="00ED3D87"/>
    <w:rsid w:val="00EE029C"/>
    <w:rsid w:val="00EF0B48"/>
    <w:rsid w:val="00F226A6"/>
    <w:rsid w:val="00F32877"/>
    <w:rsid w:val="00F36BC8"/>
    <w:rsid w:val="00F407FF"/>
    <w:rsid w:val="00F42B11"/>
    <w:rsid w:val="00F672BC"/>
    <w:rsid w:val="00F92DD5"/>
    <w:rsid w:val="00FC2243"/>
    <w:rsid w:val="00FD01CA"/>
    <w:rsid w:val="00FD7FDE"/>
    <w:rsid w:val="00FE0542"/>
    <w:rsid w:val="00FE1F45"/>
    <w:rsid w:val="04291E47"/>
    <w:rsid w:val="048C0C5D"/>
    <w:rsid w:val="04C97F31"/>
    <w:rsid w:val="05EF6F7F"/>
    <w:rsid w:val="0A7B6A0E"/>
    <w:rsid w:val="0AAF1EFF"/>
    <w:rsid w:val="106302A1"/>
    <w:rsid w:val="1120319B"/>
    <w:rsid w:val="11360A23"/>
    <w:rsid w:val="13876456"/>
    <w:rsid w:val="14342B20"/>
    <w:rsid w:val="15C45AC8"/>
    <w:rsid w:val="15D339E4"/>
    <w:rsid w:val="186D5A7D"/>
    <w:rsid w:val="19DA03F1"/>
    <w:rsid w:val="1EC51885"/>
    <w:rsid w:val="205812A7"/>
    <w:rsid w:val="20C02708"/>
    <w:rsid w:val="20C32D3B"/>
    <w:rsid w:val="29576254"/>
    <w:rsid w:val="2E66246D"/>
    <w:rsid w:val="341372BE"/>
    <w:rsid w:val="34D17133"/>
    <w:rsid w:val="36687767"/>
    <w:rsid w:val="3C52687C"/>
    <w:rsid w:val="3DF520EC"/>
    <w:rsid w:val="3F4D5177"/>
    <w:rsid w:val="40767C7B"/>
    <w:rsid w:val="42220C2D"/>
    <w:rsid w:val="498126DD"/>
    <w:rsid w:val="4AF13709"/>
    <w:rsid w:val="4D4B2F39"/>
    <w:rsid w:val="565F08B2"/>
    <w:rsid w:val="5A3818F7"/>
    <w:rsid w:val="5A491DF5"/>
    <w:rsid w:val="5CEC3370"/>
    <w:rsid w:val="6129311B"/>
    <w:rsid w:val="659D2AED"/>
    <w:rsid w:val="674A351B"/>
    <w:rsid w:val="6D8D0DA1"/>
    <w:rsid w:val="6F313914"/>
    <w:rsid w:val="6FA72308"/>
    <w:rsid w:val="70A504D5"/>
    <w:rsid w:val="747B795B"/>
    <w:rsid w:val="756205EC"/>
    <w:rsid w:val="76E51514"/>
    <w:rsid w:val="79475AB4"/>
    <w:rsid w:val="7C9948E3"/>
    <w:rsid w:val="7CC71850"/>
    <w:rsid w:val="7D0004C8"/>
    <w:rsid w:val="7ED926B0"/>
    <w:rsid w:val="7F4D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1741</Words>
  <Characters>2195</Characters>
  <Lines>20</Lines>
  <Paragraphs>5</Paragraphs>
  <TotalTime>907</TotalTime>
  <ScaleCrop>false</ScaleCrop>
  <LinksUpToDate>false</LinksUpToDate>
  <CharactersWithSpaces>2223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2023-03-30T10:26:00Z</dcterms:created>
  <dc:creator>hm</dc:creator>
  <cp:lastModifiedBy>喵司马</cp:lastModifiedBy>
  <cp:lastPrinted>2025-05-20T09:39:00Z</cp:lastPrinted>
  <dcterms:modified xsi:type="dcterms:W3CDTF">2025-05-21T03:38:40Z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5934ABE3D1FA4134AA5ADA41FEC16115_13</vt:lpwstr>
  </property>
  <property fmtid="{D5CDD505-2E9C-101B-9397-08002B2CF9AE}" pid="4" name="KSOTemplateDocerSaveRecord">
    <vt:lpwstr>eyJoZGlkIjoiODFiMzVhZmU4ODRjOTUwMWQ5OGM4MDg2NTQyY2U4MzMiLCJ1c2VySWQiOiIxNTgxMDEwOTIxIn0=</vt:lpwstr>
  </property>
</Properties>
</file>