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5564">
      <w:pPr>
        <w:pStyle w:val="2"/>
        <w:ind w:firstLine="0" w:firstLineChars="0"/>
        <w:jc w:val="left"/>
        <w:rPr>
          <w:rFonts w:ascii="微软雅黑" w:hAnsi="微软雅黑" w:eastAsia="微软雅黑"/>
          <w:color w:val="5D5D5D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/>
          <w:color w:val="5D5D5D"/>
          <w:sz w:val="22"/>
          <w:szCs w:val="22"/>
          <w:shd w:val="clear" w:color="auto" w:fill="FFFFFF"/>
        </w:rPr>
        <w:t>附件：</w:t>
      </w:r>
    </w:p>
    <w:p w14:paraId="467FA99C">
      <w:pPr>
        <w:autoSpaceDE w:val="0"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p w14:paraId="42322255">
      <w:pPr>
        <w:autoSpaceDE w:val="0"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 xml:space="preserve"> 丰顺县第四次全国文物普查新发现未定级</w:t>
      </w:r>
    </w:p>
    <w:p w14:paraId="75A60704">
      <w:pPr>
        <w:autoSpaceDE w:val="0"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11"/>
          <w:szCs w:val="11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不可移动文物（第四批）</w:t>
      </w:r>
    </w:p>
    <w:p w14:paraId="1278821F"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11"/>
          <w:szCs w:val="11"/>
        </w:rPr>
      </w:pPr>
    </w:p>
    <w:tbl>
      <w:tblPr>
        <w:tblStyle w:val="3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1"/>
        <w:gridCol w:w="878"/>
        <w:gridCol w:w="1612"/>
        <w:gridCol w:w="1416"/>
        <w:gridCol w:w="1374"/>
        <w:gridCol w:w="2732"/>
        <w:gridCol w:w="991"/>
        <w:gridCol w:w="708"/>
      </w:tblGrid>
      <w:tr w14:paraId="0B146B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AD4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B617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B7AB3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32D4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6C4AB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>子类</w:t>
            </w: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08EA36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0462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年代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BD2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E6FC8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9187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964F8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丰顺县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C73CE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317D8982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 xml:space="preserve">市郊凤井 </w:t>
            </w:r>
          </w:p>
          <w:p w14:paraId="523F4315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A56F0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7A58A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632E93D6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 xml:space="preserve">池塘井泉 </w:t>
            </w:r>
          </w:p>
          <w:p w14:paraId="796D82C9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2362467">
            <w:pPr>
              <w:widowControl/>
              <w:jc w:val="left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广东省梅州市丰顺县留隍镇市郊村后井街 58号的西南方向约 1 米处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DE6A">
            <w:pPr>
              <w:widowControl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清</w:t>
            </w:r>
            <w:r>
              <w:rPr>
                <w:rFonts w:hint="eastAsia" w:ascii="宋体" w:hAnsi="宋体" w:cs="Calibri"/>
                <w:color w:val="000000"/>
                <w:sz w:val="24"/>
                <w:szCs w:val="24"/>
                <w:lang w:eastAsia="zh-CN"/>
              </w:rPr>
              <w:t>初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4797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013DF3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3009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FF171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丰顺县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B620C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 xml:space="preserve">市郊鸿湖旅社 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04E72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970E3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09745FE8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宅第民居</w:t>
            </w:r>
          </w:p>
          <w:p w14:paraId="5C55278F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C3CB751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广东省梅州市丰顺县留隍镇市郊村山头顶 8-1 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5933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EBB7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01934A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840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DE0E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丰顺县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5EF4B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市郊余庆居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54C9F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AA298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735D681C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宅第民居</w:t>
            </w:r>
          </w:p>
          <w:p w14:paraId="408A2BFC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F106988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广东省梅州市丰顺县留隍镇市郊村 21 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F4D7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2B9A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3F6FCC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0699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37A38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丰顺县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E034F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62A83478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 xml:space="preserve">市郊朱氏古井 </w:t>
            </w:r>
          </w:p>
          <w:p w14:paraId="4A93C535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39D22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16F7E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2D415481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 xml:space="preserve">池塘井泉 </w:t>
            </w:r>
          </w:p>
          <w:p w14:paraId="5EB27189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C28C62E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广东省梅州市丰顺县留隍镇市郊村后井街后侧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3C69">
            <w:pPr>
              <w:widowControl/>
              <w:jc w:val="center"/>
              <w:textAlignment w:val="center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095C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</w:tbl>
    <w:p w14:paraId="6CF1AD6C"/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B370F"/>
    <w:rsid w:val="00A44571"/>
    <w:rsid w:val="00BB370F"/>
    <w:rsid w:val="099C0C44"/>
    <w:rsid w:val="0B222BB5"/>
    <w:rsid w:val="17CE3436"/>
    <w:rsid w:val="1ECA00DE"/>
    <w:rsid w:val="2C8C46DB"/>
    <w:rsid w:val="2F9D3EDE"/>
    <w:rsid w:val="3F3E5024"/>
    <w:rsid w:val="49E47B02"/>
    <w:rsid w:val="4B9425A7"/>
    <w:rsid w:val="66C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205</Characters>
  <Lines>15</Lines>
  <Paragraphs>4</Paragraphs>
  <TotalTime>4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2026-03-30T07:56:00Z</dcterms:created>
  <dc:creator>PC</dc:creator>
  <cp:lastModifiedBy>L敏情_</cp:lastModifiedBy>
  <dcterms:modified xsi:type="dcterms:W3CDTF">2026-04-09T01:31:56Z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eyJoZGlkIjoiZmZmMGJhNzY1YjY5MjgyN2I3YWI5OTczNDQyMTVmY2MiLCJ1c2VySWQiOiI0NDMyMDY5ODEifQ==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1A40CCE8C36B445BAD2051C6C5DC8011_12</vt:lpwstr>
  </property>
</Properties>
</file>