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63605">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jc w:val="left"/>
        <w:textAlignment w:val="auto"/>
        <w:rPr>
          <w:rFonts w:hint="eastAsia" w:ascii="Times New Roman" w:hAnsi="Times New Roman" w:eastAsia="仿宋" w:cs="Times New Roman"/>
          <w:b/>
          <w:sz w:val="36"/>
          <w:szCs w:val="36"/>
          <w:highlight w:val="none"/>
          <w:lang w:val="en-US" w:eastAsia="zh-CN"/>
        </w:rPr>
      </w:pPr>
      <w:r>
        <w:rPr>
          <w:rFonts w:hint="eastAsia" w:ascii="Times New Roman" w:hAnsi="Times New Roman" w:eastAsia="仿宋" w:cs="Times New Roman"/>
          <w:b/>
          <w:sz w:val="36"/>
          <w:szCs w:val="36"/>
          <w:highlight w:val="none"/>
          <w:lang w:val="en-US" w:eastAsia="zh-CN"/>
        </w:rPr>
        <w:t>附件1：</w:t>
      </w:r>
    </w:p>
    <w:p w14:paraId="0CEBC63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小标宋简体" w:hAnsi="方正小标宋简体" w:eastAsia="方正小标宋简体" w:cs="方正小标宋简体"/>
          <w:b w:val="0"/>
          <w:bCs/>
          <w:sz w:val="44"/>
          <w:szCs w:val="44"/>
          <w:highlight w:val="none"/>
          <w:lang w:val="en-US" w:eastAsia="zh-CN"/>
        </w:rPr>
      </w:pPr>
      <w:r>
        <w:rPr>
          <w:rFonts w:hint="eastAsia" w:ascii="方正小标宋简体" w:hAnsi="方正小标宋简体" w:eastAsia="方正小标宋简体" w:cs="方正小标宋简体"/>
          <w:b w:val="0"/>
          <w:bCs/>
          <w:sz w:val="44"/>
          <w:szCs w:val="44"/>
          <w:highlight w:val="none"/>
          <w:lang w:val="en-US" w:eastAsia="zh-CN"/>
        </w:rPr>
        <w:t>丰顺县征收农用地区片综合地价</w:t>
      </w:r>
    </w:p>
    <w:p w14:paraId="5EB7517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b/>
          <w:sz w:val="36"/>
          <w:szCs w:val="36"/>
          <w:highlight w:val="none"/>
          <w:lang w:val="en-US" w:eastAsia="zh-CN"/>
        </w:rPr>
      </w:pPr>
      <w:r>
        <w:rPr>
          <w:rFonts w:hint="eastAsia" w:ascii="方正小标宋简体" w:hAnsi="方正小标宋简体" w:eastAsia="方正小标宋简体" w:cs="方正小标宋简体"/>
          <w:b w:val="0"/>
          <w:bCs/>
          <w:sz w:val="44"/>
          <w:szCs w:val="44"/>
          <w:highlight w:val="none"/>
          <w:lang w:val="en-US" w:eastAsia="zh-CN"/>
        </w:rPr>
        <w:t>（公众征求意见稿）</w:t>
      </w:r>
      <w:bookmarkStart w:id="0" w:name="_GoBack"/>
      <w:bookmarkEnd w:id="0"/>
    </w:p>
    <w:p w14:paraId="6C5E136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Times New Roman" w:hAnsi="Times New Roman" w:eastAsia="仿宋" w:cs="Times New Roman"/>
          <w:sz w:val="28"/>
          <w:szCs w:val="36"/>
          <w:highlight w:val="none"/>
        </w:rPr>
      </w:pPr>
    </w:p>
    <w:p w14:paraId="2018669C">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Times New Roman" w:hAnsi="Times New Roman" w:eastAsia="仿宋" w:cs="Times New Roman"/>
          <w:sz w:val="28"/>
          <w:szCs w:val="36"/>
          <w:highlight w:val="none"/>
        </w:rPr>
      </w:pPr>
      <w:r>
        <w:rPr>
          <w:rFonts w:hint="eastAsia" w:ascii="Times New Roman" w:hAnsi="Times New Roman" w:eastAsia="仿宋" w:cs="Times New Roman"/>
          <w:sz w:val="28"/>
          <w:szCs w:val="36"/>
          <w:highlight w:val="none"/>
        </w:rPr>
        <w:t>《中华人民共和国土地管理法》规定，征收农用地区片综合地价至少每三年调整或者重新公布一次。根据《广东省自然资源厅关于做好区片综合地价调整或重新公布工作的通知》（粤自然资函〔2026〕316号）要求，各地尽快组织所辖县</w:t>
      </w:r>
      <w:r>
        <w:rPr>
          <w:rFonts w:hint="eastAsia" w:ascii="Times New Roman" w:hAnsi="Times New Roman" w:eastAsia="仿宋" w:cs="Times New Roman"/>
          <w:sz w:val="28"/>
          <w:szCs w:val="36"/>
          <w:highlight w:val="none"/>
          <w:lang w:eastAsia="zh-CN"/>
        </w:rPr>
        <w:t>（</w:t>
      </w:r>
      <w:r>
        <w:rPr>
          <w:rFonts w:hint="eastAsia" w:ascii="Times New Roman" w:hAnsi="Times New Roman" w:eastAsia="仿宋" w:cs="Times New Roman"/>
          <w:sz w:val="28"/>
          <w:szCs w:val="36"/>
          <w:highlight w:val="none"/>
        </w:rPr>
        <w:t>市、区</w:t>
      </w:r>
      <w:r>
        <w:rPr>
          <w:rFonts w:hint="eastAsia" w:ascii="Times New Roman" w:hAnsi="Times New Roman" w:eastAsia="仿宋" w:cs="Times New Roman"/>
          <w:sz w:val="28"/>
          <w:szCs w:val="36"/>
          <w:highlight w:val="none"/>
          <w:lang w:eastAsia="zh-CN"/>
        </w:rPr>
        <w:t>）</w:t>
      </w:r>
      <w:r>
        <w:rPr>
          <w:rFonts w:hint="eastAsia" w:ascii="Times New Roman" w:hAnsi="Times New Roman" w:eastAsia="仿宋" w:cs="Times New Roman"/>
          <w:sz w:val="28"/>
          <w:szCs w:val="36"/>
          <w:highlight w:val="none"/>
        </w:rPr>
        <w:t>启动区片综合地价调整或重新公布各项工作。丰顺县现行的征收农用地区片综合地价</w:t>
      </w:r>
      <w:r>
        <w:rPr>
          <w:rFonts w:hint="eastAsia" w:ascii="Times New Roman" w:hAnsi="Times New Roman" w:eastAsia="仿宋" w:cs="Times New Roman"/>
          <w:color w:val="auto"/>
          <w:sz w:val="28"/>
          <w:szCs w:val="36"/>
          <w:highlight w:val="none"/>
          <w:lang w:val="en-US" w:eastAsia="zh-CN"/>
        </w:rPr>
        <w:t>是</w:t>
      </w:r>
      <w:r>
        <w:rPr>
          <w:rFonts w:hint="eastAsia" w:ascii="Times New Roman" w:hAnsi="Times New Roman" w:eastAsia="仿宋" w:cs="Times New Roman"/>
          <w:sz w:val="28"/>
          <w:szCs w:val="36"/>
          <w:highlight w:val="none"/>
        </w:rPr>
        <w:t>依据2024年2月5日梅州市人民政府统一公布实施的征收农用地区片综合地价成果执行，即将届满三年调整周期。</w:t>
      </w:r>
    </w:p>
    <w:p w14:paraId="0E8F89D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eastAsia="仿宋" w:cs="Times New Roman"/>
          <w:color w:val="000000"/>
          <w:kern w:val="0"/>
          <w:sz w:val="28"/>
          <w:szCs w:val="28"/>
          <w:highlight w:val="none"/>
        </w:rPr>
      </w:pPr>
      <w:r>
        <w:rPr>
          <w:rFonts w:hint="eastAsia" w:ascii="Times New Roman" w:hAnsi="Times New Roman" w:eastAsia="仿宋" w:cs="Times New Roman"/>
          <w:sz w:val="28"/>
          <w:szCs w:val="36"/>
          <w:highlight w:val="none"/>
        </w:rPr>
        <w:t>根据前述工作要求，结合近年来丰顺县经济发展水平、人口状况、物价水平、土地供求关系等因素，以及政策实施情况、地方实际诉求开展综合分析，认为丰顺县现行征收农用地区片综合地价总体执行情况平稳。为维护社会和谐稳定，推动县域经济平稳运行，保障现行征收农用地区片综合地价标准的法律效力，我县决定对丰顺县征收农用地区片综合地价标准予以重新公布。主要框架和内容</w:t>
      </w:r>
      <w:r>
        <w:rPr>
          <w:rFonts w:hint="eastAsia" w:ascii="Times New Roman" w:hAnsi="Times New Roman" w:eastAsia="仿宋" w:cs="Times New Roman"/>
          <w:sz w:val="28"/>
          <w:szCs w:val="36"/>
          <w:highlight w:val="none"/>
          <w:lang w:val="en-US" w:eastAsia="zh-CN"/>
        </w:rPr>
        <w:t>如下：</w:t>
      </w:r>
    </w:p>
    <w:p w14:paraId="340F3247">
      <w:pPr>
        <w:keepNext/>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firstLine="0" w:firstLineChars="0"/>
        <w:jc w:val="both"/>
        <w:textAlignment w:val="auto"/>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一、明确土地补偿费和安置补助费的比例</w:t>
      </w:r>
    </w:p>
    <w:p w14:paraId="5A3688A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textAlignment w:val="auto"/>
        <w:rPr>
          <w:rFonts w:ascii="Times New Roman" w:hAnsi="Times New Roman" w:eastAsia="仿宋" w:cs="Times New Roman"/>
          <w:color w:val="000000"/>
          <w:kern w:val="0"/>
          <w:sz w:val="28"/>
          <w:szCs w:val="28"/>
          <w:highlight w:val="none"/>
        </w:rPr>
      </w:pPr>
      <w:r>
        <w:rPr>
          <w:rFonts w:hint="eastAsia" w:ascii="Times New Roman" w:hAnsi="Times New Roman" w:eastAsia="仿宋" w:cs="Times New Roman"/>
          <w:color w:val="000000"/>
          <w:kern w:val="0"/>
          <w:sz w:val="28"/>
          <w:szCs w:val="28"/>
          <w:highlight w:val="none"/>
        </w:rPr>
        <w:t>土地补偿费为区片综合价的40%，安置补助费为区片综合价的60%。</w:t>
      </w:r>
    </w:p>
    <w:p w14:paraId="5160E606">
      <w:pPr>
        <w:keepNext/>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firstLine="0" w:firstLineChars="0"/>
        <w:jc w:val="both"/>
        <w:textAlignment w:val="auto"/>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二、划定区片范围</w:t>
      </w:r>
    </w:p>
    <w:p w14:paraId="345820C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textAlignment w:val="auto"/>
        <w:rPr>
          <w:rFonts w:ascii="Times New Roman" w:hAnsi="Times New Roman" w:eastAsia="仿宋" w:cs="Times New Roman"/>
          <w:color w:val="000000"/>
          <w:kern w:val="0"/>
          <w:sz w:val="28"/>
          <w:szCs w:val="28"/>
          <w:highlight w:val="none"/>
        </w:rPr>
      </w:pPr>
      <w:r>
        <w:rPr>
          <w:rFonts w:hint="eastAsia" w:ascii="Times New Roman" w:hAnsi="Times New Roman" w:eastAsia="仿宋" w:cs="Times New Roman"/>
          <w:color w:val="000000"/>
          <w:kern w:val="0"/>
          <w:sz w:val="28"/>
          <w:szCs w:val="28"/>
          <w:highlight w:val="none"/>
        </w:rPr>
        <w:t>结合我县实际，全县征地区片划分为三个区片，即第一区片：汤坑镇、汤南镇、汤西镇；第二区片：丰良镇、留隍镇、埔寨镇、埔寨农场、汤坑镇大坝林场；第三区片：潭江镇、北斗镇、黄金镇、潘田镇、建桥镇、龙岗镇、大龙华镇、砂田镇、八乡山镇、小胜镇。</w:t>
      </w:r>
    </w:p>
    <w:p w14:paraId="1D3699B8">
      <w:pPr>
        <w:keepNext/>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firstLine="0" w:firstLineChars="0"/>
        <w:jc w:val="both"/>
        <w:textAlignment w:val="auto"/>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三、确定各区片征地补偿标准</w:t>
      </w:r>
    </w:p>
    <w:p w14:paraId="24AAC02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textAlignment w:val="auto"/>
        <w:rPr>
          <w:rFonts w:ascii="Times New Roman" w:hAnsi="Times New Roman" w:eastAsia="仿宋" w:cs="Times New Roman"/>
          <w:color w:val="000000"/>
          <w:kern w:val="0"/>
          <w:sz w:val="28"/>
          <w:szCs w:val="28"/>
          <w:highlight w:val="none"/>
        </w:rPr>
      </w:pPr>
      <w:r>
        <w:rPr>
          <w:rFonts w:hint="eastAsia" w:ascii="Times New Roman" w:hAnsi="Times New Roman" w:eastAsia="仿宋" w:cs="Times New Roman"/>
          <w:color w:val="000000"/>
          <w:kern w:val="0"/>
          <w:sz w:val="28"/>
          <w:szCs w:val="28"/>
          <w:highlight w:val="none"/>
        </w:rPr>
        <w:t>第一区片综合地价为5.50万元/亩，</w:t>
      </w:r>
      <w:r>
        <w:rPr>
          <w:rFonts w:hint="eastAsia" w:ascii="Times New Roman" w:hAnsi="Times New Roman" w:eastAsia="仿宋" w:cs="Times New Roman"/>
          <w:color w:val="000000"/>
          <w:kern w:val="0"/>
          <w:sz w:val="28"/>
          <w:szCs w:val="28"/>
          <w:highlight w:val="none"/>
          <w:lang w:val="en-US" w:eastAsia="zh-CN"/>
        </w:rPr>
        <w:t>其中：</w:t>
      </w:r>
      <w:r>
        <w:rPr>
          <w:rFonts w:hint="eastAsia" w:ascii="Times New Roman" w:hAnsi="Times New Roman" w:eastAsia="仿宋" w:cs="Times New Roman"/>
          <w:color w:val="000000"/>
          <w:kern w:val="0"/>
          <w:sz w:val="28"/>
          <w:szCs w:val="28"/>
          <w:highlight w:val="none"/>
        </w:rPr>
        <w:t>土地补偿费2.20万元/亩，安置补助费3.30万元/亩；第二区片综合地价为4.48万元/亩，</w:t>
      </w:r>
      <w:r>
        <w:rPr>
          <w:rFonts w:hint="eastAsia" w:ascii="Times New Roman" w:hAnsi="Times New Roman" w:eastAsia="仿宋" w:cs="Times New Roman"/>
          <w:color w:val="000000"/>
          <w:kern w:val="0"/>
          <w:sz w:val="28"/>
          <w:szCs w:val="28"/>
          <w:highlight w:val="none"/>
          <w:lang w:val="en-US" w:eastAsia="zh-CN"/>
        </w:rPr>
        <w:t>其中：</w:t>
      </w:r>
      <w:r>
        <w:rPr>
          <w:rFonts w:hint="eastAsia" w:ascii="Times New Roman" w:hAnsi="Times New Roman" w:eastAsia="仿宋" w:cs="Times New Roman"/>
          <w:color w:val="000000"/>
          <w:kern w:val="0"/>
          <w:sz w:val="28"/>
          <w:szCs w:val="28"/>
          <w:highlight w:val="none"/>
        </w:rPr>
        <w:t>土地补偿费1.79万元/亩，安置补助费2.69万元/亩；第三区片综合地价为4.09万元/亩，</w:t>
      </w:r>
      <w:r>
        <w:rPr>
          <w:rFonts w:hint="eastAsia" w:ascii="Times New Roman" w:hAnsi="Times New Roman" w:eastAsia="仿宋" w:cs="Times New Roman"/>
          <w:color w:val="000000"/>
          <w:kern w:val="0"/>
          <w:sz w:val="28"/>
          <w:szCs w:val="28"/>
          <w:highlight w:val="none"/>
          <w:lang w:val="en-US" w:eastAsia="zh-CN"/>
        </w:rPr>
        <w:t>其中：</w:t>
      </w:r>
      <w:r>
        <w:rPr>
          <w:rFonts w:hint="eastAsia" w:ascii="Times New Roman" w:hAnsi="Times New Roman" w:eastAsia="仿宋" w:cs="Times New Roman"/>
          <w:color w:val="000000"/>
          <w:kern w:val="0"/>
          <w:sz w:val="28"/>
          <w:szCs w:val="28"/>
          <w:highlight w:val="none"/>
        </w:rPr>
        <w:t>土地补偿费1.64万元/亩，安置补助费2.45万元/亩。</w:t>
      </w:r>
    </w:p>
    <w:p w14:paraId="1A8CE96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textAlignment w:val="auto"/>
        <w:rPr>
          <w:rFonts w:hint="eastAsia" w:ascii="Times New Roman" w:hAnsi="Times New Roman" w:eastAsia="仿宋" w:cs="Times New Roman"/>
          <w:color w:val="000000"/>
          <w:kern w:val="0"/>
          <w:sz w:val="28"/>
          <w:szCs w:val="28"/>
          <w:highlight w:val="none"/>
        </w:rPr>
      </w:pPr>
      <w:r>
        <w:rPr>
          <w:rFonts w:hint="eastAsia" w:ascii="Times New Roman" w:hAnsi="Times New Roman" w:eastAsia="仿宋" w:cs="Times New Roman"/>
          <w:color w:val="000000"/>
          <w:kern w:val="0"/>
          <w:sz w:val="28"/>
          <w:szCs w:val="28"/>
          <w:highlight w:val="none"/>
        </w:rPr>
        <w:t>丰顺县征收农用地区片综合地价调节系数说明：按照《梅州市人民政府关于公布实施征收农用地区片综合地价的公告》（梅市府〔2024〕1号）确定系数执行，林地调节系数为0.30，水田调节系数为1.2</w:t>
      </w:r>
      <w:r>
        <w:rPr>
          <w:rFonts w:hint="eastAsia" w:ascii="Times New Roman" w:hAnsi="Times New Roman" w:eastAsia="仿宋" w:cs="Times New Roman"/>
          <w:color w:val="000000"/>
          <w:kern w:val="0"/>
          <w:sz w:val="28"/>
          <w:szCs w:val="28"/>
          <w:highlight w:val="none"/>
          <w:lang w:val="en-US" w:eastAsia="zh-CN"/>
        </w:rPr>
        <w:t>0</w:t>
      </w:r>
      <w:r>
        <w:rPr>
          <w:rFonts w:hint="eastAsia" w:ascii="Times New Roman" w:hAnsi="Times New Roman" w:eastAsia="仿宋" w:cs="Times New Roman"/>
          <w:color w:val="000000"/>
          <w:kern w:val="0"/>
          <w:sz w:val="28"/>
          <w:szCs w:val="28"/>
          <w:highlight w:val="none"/>
        </w:rPr>
        <w:t>，园地调节系数为0.65，未利用地调节系数为0.4，建设用地参照征收农用地区片综合地价执行。</w:t>
      </w:r>
    </w:p>
    <w:p w14:paraId="6ED8B811">
      <w:pPr>
        <w:keepNext/>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firstLine="0" w:firstLineChars="0"/>
        <w:jc w:val="both"/>
        <w:textAlignment w:val="auto"/>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lang w:val="en-US" w:eastAsia="zh-CN"/>
        </w:rPr>
        <w:t>四、</w:t>
      </w:r>
      <w:r>
        <w:rPr>
          <w:rFonts w:hint="eastAsia" w:ascii="仿宋" w:hAnsi="仿宋" w:eastAsia="仿宋" w:cs="仿宋"/>
          <w:b/>
          <w:kern w:val="0"/>
          <w:sz w:val="28"/>
          <w:szCs w:val="28"/>
          <w:highlight w:val="none"/>
        </w:rPr>
        <w:t>适用范围</w:t>
      </w:r>
    </w:p>
    <w:p w14:paraId="5F6E6BC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textAlignment w:val="auto"/>
        <w:rPr>
          <w:rFonts w:hint="eastAsia" w:ascii="Times New Roman" w:hAnsi="Times New Roman" w:eastAsia="仿宋" w:cs="Times New Roman"/>
          <w:color w:val="000000"/>
          <w:kern w:val="0"/>
          <w:sz w:val="28"/>
          <w:szCs w:val="28"/>
          <w:highlight w:val="none"/>
        </w:rPr>
        <w:sectPr>
          <w:footerReference r:id="rId3" w:type="default"/>
          <w:pgSz w:w="11906" w:h="16838"/>
          <w:pgMar w:top="1440" w:right="1633" w:bottom="1440" w:left="1633" w:header="851" w:footer="992" w:gutter="0"/>
          <w:pgBorders w:offsetFrom="page">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仿宋" w:cs="Times New Roman"/>
          <w:color w:val="000000"/>
          <w:kern w:val="0"/>
          <w:sz w:val="28"/>
          <w:szCs w:val="28"/>
          <w:highlight w:val="none"/>
        </w:rPr>
        <w:t>本文件适用于丰顺县行政区域内的农用地征收。</w:t>
      </w:r>
    </w:p>
    <w:tbl>
      <w:tblPr>
        <w:tblStyle w:val="6"/>
        <w:tblW w:w="1454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1"/>
        <w:gridCol w:w="743"/>
        <w:gridCol w:w="842"/>
        <w:gridCol w:w="1429"/>
        <w:gridCol w:w="800"/>
        <w:gridCol w:w="1457"/>
        <w:gridCol w:w="857"/>
        <w:gridCol w:w="7410"/>
      </w:tblGrid>
      <w:tr w14:paraId="245E2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4549" w:type="dxa"/>
            <w:gridSpan w:val="8"/>
            <w:tcBorders>
              <w:top w:val="nil"/>
              <w:left w:val="nil"/>
              <w:bottom w:val="nil"/>
              <w:right w:val="nil"/>
            </w:tcBorders>
            <w:shd w:val="clear" w:color="auto" w:fill="auto"/>
            <w:noWrap/>
            <w:vAlign w:val="center"/>
          </w:tcPr>
          <w:p w14:paraId="796BDEAA">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表1 丰顺县征收农用地区片综合地价表</w:t>
            </w:r>
          </w:p>
        </w:tc>
      </w:tr>
      <w:tr w14:paraId="4A60D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011" w:type="dxa"/>
            <w:vMerge w:val="restart"/>
            <w:tcBorders>
              <w:top w:val="single" w:color="000000" w:sz="8" w:space="0"/>
              <w:left w:val="single" w:color="000000" w:sz="8" w:space="0"/>
              <w:bottom w:val="single" w:color="000000" w:sz="4" w:space="0"/>
              <w:right w:val="single" w:color="000000" w:sz="4" w:space="0"/>
            </w:tcBorders>
            <w:shd w:val="clear" w:color="auto" w:fill="auto"/>
            <w:noWrap/>
            <w:vAlign w:val="center"/>
          </w:tcPr>
          <w:p w14:paraId="6BA2C0E3">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bCs/>
                <w:i w:val="0"/>
                <w:iCs w:val="0"/>
                <w:color w:val="000000"/>
                <w:kern w:val="0"/>
                <w:sz w:val="24"/>
                <w:szCs w:val="24"/>
                <w:highlight w:val="none"/>
                <w:u w:val="none"/>
                <w:lang w:val="en-US" w:eastAsia="zh-CN" w:bidi="ar"/>
              </w:rPr>
            </w:pPr>
            <w:r>
              <w:rPr>
                <w:rFonts w:hint="eastAsia" w:ascii="Times New Roman" w:hAnsi="Times New Roman" w:eastAsia="仿宋" w:cs="Times New Roman"/>
                <w:b/>
                <w:bCs/>
                <w:i w:val="0"/>
                <w:iCs w:val="0"/>
                <w:color w:val="000000"/>
                <w:kern w:val="0"/>
                <w:sz w:val="24"/>
                <w:szCs w:val="24"/>
                <w:highlight w:val="none"/>
                <w:u w:val="none"/>
                <w:lang w:val="en-US" w:eastAsia="zh-CN" w:bidi="ar"/>
              </w:rPr>
              <w:t>行政</w:t>
            </w:r>
          </w:p>
          <w:p w14:paraId="17F45153">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区域</w:t>
            </w:r>
          </w:p>
        </w:tc>
        <w:tc>
          <w:tcPr>
            <w:tcW w:w="743" w:type="dxa"/>
            <w:vMerge w:val="restart"/>
            <w:tcBorders>
              <w:top w:val="single" w:color="000000" w:sz="8" w:space="0"/>
              <w:left w:val="single" w:color="000000" w:sz="4" w:space="0"/>
              <w:bottom w:val="single" w:color="000000" w:sz="4" w:space="0"/>
              <w:right w:val="single" w:color="000000" w:sz="4" w:space="0"/>
            </w:tcBorders>
            <w:shd w:val="clear" w:color="auto" w:fill="auto"/>
            <w:noWrap/>
            <w:vAlign w:val="center"/>
          </w:tcPr>
          <w:p w14:paraId="75C29D49">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区片编号</w:t>
            </w:r>
          </w:p>
        </w:tc>
        <w:tc>
          <w:tcPr>
            <w:tcW w:w="5385" w:type="dxa"/>
            <w:gridSpan w:val="5"/>
            <w:tcBorders>
              <w:top w:val="single" w:color="000000" w:sz="8" w:space="0"/>
              <w:left w:val="single" w:color="000000" w:sz="4" w:space="0"/>
              <w:bottom w:val="single" w:color="000000" w:sz="4" w:space="0"/>
              <w:right w:val="single" w:color="000000" w:sz="4" w:space="0"/>
            </w:tcBorders>
            <w:shd w:val="clear" w:color="auto" w:fill="auto"/>
            <w:noWrap/>
            <w:vAlign w:val="center"/>
          </w:tcPr>
          <w:p w14:paraId="6ED9CC9B">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区片综合地价（万元/亩）</w:t>
            </w:r>
          </w:p>
        </w:tc>
        <w:tc>
          <w:tcPr>
            <w:tcW w:w="7410" w:type="dxa"/>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14:paraId="13A12A8A">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区片范围描述</w:t>
            </w:r>
          </w:p>
        </w:tc>
      </w:tr>
      <w:tr w14:paraId="74880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11" w:type="dxa"/>
            <w:vMerge w:val="continue"/>
            <w:tcBorders>
              <w:top w:val="single" w:color="000000" w:sz="8" w:space="0"/>
              <w:left w:val="single" w:color="000000" w:sz="8" w:space="0"/>
              <w:bottom w:val="single" w:color="000000" w:sz="4" w:space="0"/>
              <w:right w:val="single" w:color="000000" w:sz="4" w:space="0"/>
            </w:tcBorders>
            <w:shd w:val="clear" w:color="auto" w:fill="auto"/>
            <w:noWrap/>
            <w:vAlign w:val="center"/>
          </w:tcPr>
          <w:p w14:paraId="1B898D47">
            <w:pPr>
              <w:keepNext w:val="0"/>
              <w:keepLines w:val="0"/>
              <w:pageBreakBefore w:val="0"/>
              <w:widowControl w:val="0"/>
              <w:kinsoku/>
              <w:wordWrap/>
              <w:overflowPunct/>
              <w:topLinePunct w:val="0"/>
              <w:autoSpaceDE/>
              <w:autoSpaceDN/>
              <w:bidi w:val="0"/>
              <w:adjustRightInd/>
              <w:snapToGrid/>
              <w:jc w:val="center"/>
              <w:rPr>
                <w:rFonts w:hint="eastAsia" w:ascii="Times New Roman" w:hAnsi="Times New Roman" w:eastAsia="仿宋" w:cs="Times New Roman"/>
                <w:b/>
                <w:bCs/>
                <w:i w:val="0"/>
                <w:iCs w:val="0"/>
                <w:color w:val="000000"/>
                <w:sz w:val="24"/>
                <w:szCs w:val="24"/>
                <w:highlight w:val="none"/>
                <w:u w:val="none"/>
              </w:rPr>
            </w:pPr>
          </w:p>
        </w:tc>
        <w:tc>
          <w:tcPr>
            <w:tcW w:w="743" w:type="dxa"/>
            <w:vMerge w:val="continue"/>
            <w:tcBorders>
              <w:top w:val="single" w:color="000000" w:sz="8" w:space="0"/>
              <w:left w:val="single" w:color="000000" w:sz="4" w:space="0"/>
              <w:bottom w:val="single" w:color="000000" w:sz="4" w:space="0"/>
              <w:right w:val="single" w:color="000000" w:sz="4" w:space="0"/>
            </w:tcBorders>
            <w:shd w:val="clear" w:color="auto" w:fill="auto"/>
            <w:noWrap/>
            <w:vAlign w:val="center"/>
          </w:tcPr>
          <w:p w14:paraId="3E567E9B">
            <w:pPr>
              <w:keepNext w:val="0"/>
              <w:keepLines w:val="0"/>
              <w:pageBreakBefore w:val="0"/>
              <w:widowControl w:val="0"/>
              <w:kinsoku/>
              <w:wordWrap/>
              <w:overflowPunct/>
              <w:topLinePunct w:val="0"/>
              <w:autoSpaceDE/>
              <w:autoSpaceDN/>
              <w:bidi w:val="0"/>
              <w:adjustRightInd/>
              <w:snapToGrid/>
              <w:jc w:val="center"/>
              <w:rPr>
                <w:rFonts w:hint="eastAsia" w:ascii="Times New Roman" w:hAnsi="Times New Roman" w:eastAsia="仿宋" w:cs="Times New Roman"/>
                <w:b/>
                <w:bCs/>
                <w:i w:val="0"/>
                <w:iCs w:val="0"/>
                <w:color w:val="000000"/>
                <w:sz w:val="24"/>
                <w:szCs w:val="24"/>
                <w:highlight w:val="none"/>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53C8">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合计</w:t>
            </w:r>
          </w:p>
        </w:tc>
        <w:tc>
          <w:tcPr>
            <w:tcW w:w="14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78FE">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土地补偿费</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E16A">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占比</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1651">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安置补助费</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57F1">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占比</w:t>
            </w:r>
          </w:p>
        </w:tc>
        <w:tc>
          <w:tcPr>
            <w:tcW w:w="7410" w:type="dxa"/>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3AB2E24B">
            <w:pPr>
              <w:keepNext w:val="0"/>
              <w:keepLines w:val="0"/>
              <w:pageBreakBefore w:val="0"/>
              <w:widowControl w:val="0"/>
              <w:kinsoku/>
              <w:wordWrap/>
              <w:overflowPunct/>
              <w:topLinePunct w:val="0"/>
              <w:autoSpaceDE/>
              <w:autoSpaceDN/>
              <w:bidi w:val="0"/>
              <w:adjustRightInd/>
              <w:snapToGrid/>
              <w:jc w:val="center"/>
              <w:rPr>
                <w:rFonts w:hint="eastAsia" w:ascii="Times New Roman" w:hAnsi="Times New Roman" w:eastAsia="仿宋" w:cs="Times New Roman"/>
                <w:i w:val="0"/>
                <w:iCs w:val="0"/>
                <w:color w:val="000000"/>
                <w:sz w:val="24"/>
                <w:szCs w:val="24"/>
                <w:highlight w:val="none"/>
                <w:u w:val="none"/>
              </w:rPr>
            </w:pPr>
          </w:p>
        </w:tc>
      </w:tr>
      <w:tr w14:paraId="73F44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5" w:hRule="atLeast"/>
        </w:trPr>
        <w:tc>
          <w:tcPr>
            <w:tcW w:w="1011"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2F5CDF26">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丰顺县</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562E">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1</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038F">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5.50</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C1C2">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2.20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A8ACB">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40%</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3DEA">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3.30</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E4F6">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60%</w:t>
            </w:r>
          </w:p>
        </w:tc>
        <w:tc>
          <w:tcPr>
            <w:tcW w:w="741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C6D654">
            <w:pPr>
              <w:keepNext w:val="0"/>
              <w:keepLines w:val="0"/>
              <w:pageBreakBefore w:val="0"/>
              <w:widowControl w:val="0"/>
              <w:suppressLineNumbers w:val="0"/>
              <w:kinsoku/>
              <w:wordWrap/>
              <w:overflowPunct/>
              <w:topLinePunct w:val="0"/>
              <w:autoSpaceDE/>
              <w:autoSpaceDN/>
              <w:bidi w:val="0"/>
              <w:adjustRightInd/>
              <w:snapToGrid/>
              <w:jc w:val="left"/>
              <w:textAlignment w:val="center"/>
              <w:rPr>
                <w:rStyle w:val="11"/>
                <w:rFonts w:ascii="Times New Roman" w:hAnsi="Times New Roman" w:eastAsia="仿宋" w:cs="Times New Roman"/>
                <w:sz w:val="24"/>
                <w:szCs w:val="24"/>
                <w:highlight w:val="none"/>
                <w:lang w:val="en-US" w:eastAsia="zh-CN" w:bidi="ar"/>
              </w:rPr>
            </w:pPr>
            <w:r>
              <w:rPr>
                <w:rFonts w:hint="eastAsia" w:ascii="Times New Roman" w:hAnsi="Times New Roman" w:eastAsia="仿宋" w:cs="Times New Roman"/>
                <w:b/>
                <w:bCs/>
                <w:i w:val="0"/>
                <w:iCs w:val="0"/>
                <w:color w:val="000000"/>
                <w:kern w:val="0"/>
                <w:sz w:val="24"/>
                <w:szCs w:val="24"/>
                <w:highlight w:val="none"/>
                <w:u w:val="none"/>
                <w:lang w:val="en-US" w:eastAsia="zh-CN" w:bidi="ar"/>
              </w:rPr>
              <w:t>汤坑镇：</w:t>
            </w:r>
            <w:r>
              <w:rPr>
                <w:rStyle w:val="11"/>
                <w:rFonts w:ascii="Times New Roman" w:hAnsi="Times New Roman" w:eastAsia="仿宋" w:cs="Times New Roman"/>
                <w:sz w:val="24"/>
                <w:szCs w:val="24"/>
                <w:highlight w:val="none"/>
                <w:lang w:val="en-US" w:eastAsia="zh-CN" w:bidi="ar"/>
              </w:rPr>
              <w:t>人民社区、红卫社区、红旗社区、五一社区、东山社区、城北社区、城西社区、城南社区、汤泉社区、向群社区、城东社区、金溪村、大山背村、金汤村、金丰村、内岭村、新铜村、铜盘村、金湖村、邓屋村、东秀村、埔河村、虎局村、洋田村、富坑村、赤草村、中楼村、黎峰村、后安村、石联村、石桥村、苏山村、东里村、中联村、新田村、下村村、吉坪村、棋坪村、东山村、上村村、均田村、梅溪村、横东村。</w:t>
            </w:r>
          </w:p>
          <w:p w14:paraId="013BAE12">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Times New Roman" w:hAnsi="Times New Roman" w:eastAsia="仿宋" w:cs="Times New Roman"/>
                <w:b/>
                <w:bCs/>
                <w:i w:val="0"/>
                <w:iCs w:val="0"/>
                <w:color w:val="000000"/>
                <w:sz w:val="24"/>
                <w:szCs w:val="24"/>
                <w:highlight w:val="none"/>
                <w:u w:val="none"/>
              </w:rPr>
            </w:pPr>
            <w:r>
              <w:rPr>
                <w:rStyle w:val="12"/>
                <w:rFonts w:ascii="Times New Roman" w:hAnsi="Times New Roman" w:eastAsia="仿宋" w:cs="Times New Roman"/>
                <w:sz w:val="24"/>
                <w:szCs w:val="24"/>
                <w:highlight w:val="none"/>
                <w:lang w:val="en-US" w:eastAsia="zh-CN" w:bidi="ar"/>
              </w:rPr>
              <w:t>汤南镇：</w:t>
            </w:r>
            <w:r>
              <w:rPr>
                <w:rStyle w:val="11"/>
                <w:rFonts w:ascii="Times New Roman" w:hAnsi="Times New Roman" w:eastAsia="仿宋" w:cs="Times New Roman"/>
                <w:sz w:val="24"/>
                <w:szCs w:val="24"/>
                <w:highlight w:val="none"/>
                <w:lang w:val="en-US" w:eastAsia="zh-CN" w:bidi="ar"/>
              </w:rPr>
              <w:t>新楼村、新铺村、隆烟村、汤光村、阳光村、新埔园村、东方村、长坑村。</w:t>
            </w:r>
            <w:r>
              <w:rPr>
                <w:rStyle w:val="13"/>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汤西镇：</w:t>
            </w:r>
            <w:r>
              <w:rPr>
                <w:rStyle w:val="11"/>
                <w:rFonts w:ascii="Times New Roman" w:hAnsi="Times New Roman" w:eastAsia="仿宋" w:cs="Times New Roman"/>
                <w:sz w:val="24"/>
                <w:szCs w:val="24"/>
                <w:highlight w:val="none"/>
                <w:lang w:val="en-US" w:eastAsia="zh-CN" w:bidi="ar"/>
              </w:rPr>
              <w:t>河西村、西城村、石江村、蕉潭村、双鹿村、和安村、双湖村、新湖村、新岭村、大罗村、新兴村、南磜村。</w:t>
            </w:r>
          </w:p>
        </w:tc>
      </w:tr>
      <w:tr w14:paraId="52449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1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D86FEAB">
            <w:pPr>
              <w:keepNext w:val="0"/>
              <w:keepLines w:val="0"/>
              <w:pageBreakBefore w:val="0"/>
              <w:widowControl w:val="0"/>
              <w:kinsoku/>
              <w:wordWrap/>
              <w:overflowPunct/>
              <w:topLinePunct w:val="0"/>
              <w:autoSpaceDE/>
              <w:autoSpaceDN/>
              <w:bidi w:val="0"/>
              <w:adjustRightInd/>
              <w:snapToGrid/>
              <w:jc w:val="center"/>
              <w:rPr>
                <w:rFonts w:hint="eastAsia" w:ascii="Times New Roman" w:hAnsi="Times New Roman" w:eastAsia="仿宋" w:cs="Times New Roman"/>
                <w:i w:val="0"/>
                <w:iCs w:val="0"/>
                <w:color w:val="000000"/>
                <w:sz w:val="24"/>
                <w:szCs w:val="24"/>
                <w:highlight w:val="none"/>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FD77">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91B5">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4.48</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1FC5">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1.79</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7E8A">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40%</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BEFA">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2.69</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8648F">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60%</w:t>
            </w:r>
          </w:p>
        </w:tc>
        <w:tc>
          <w:tcPr>
            <w:tcW w:w="741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CD6901">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丰良镇：</w:t>
            </w:r>
            <w:r>
              <w:rPr>
                <w:rStyle w:val="11"/>
                <w:rFonts w:ascii="Times New Roman" w:hAnsi="Times New Roman" w:eastAsia="仿宋" w:cs="Times New Roman"/>
                <w:sz w:val="24"/>
                <w:szCs w:val="24"/>
                <w:highlight w:val="none"/>
                <w:lang w:val="en-US" w:eastAsia="zh-CN" w:bidi="ar"/>
              </w:rPr>
              <w:t>丰溪村、西厢村、丰京村、双溪村、莘桥村、复兴村、成东村、成西村、小椹村、黄粗村、布新村、太平村、璜溪村、丰田村、三山村、兵营村、九龙村、仙上村、仙洞村、新洞村、仙龙村、下山村。</w:t>
            </w:r>
            <w:r>
              <w:rPr>
                <w:rStyle w:val="11"/>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留隍镇：</w:t>
            </w:r>
            <w:r>
              <w:rPr>
                <w:rStyle w:val="11"/>
                <w:rFonts w:ascii="Times New Roman" w:hAnsi="Times New Roman" w:eastAsia="仿宋" w:cs="Times New Roman"/>
                <w:sz w:val="24"/>
                <w:szCs w:val="24"/>
                <w:highlight w:val="none"/>
                <w:lang w:val="en-US" w:eastAsia="zh-CN" w:bidi="ar"/>
              </w:rPr>
              <w:t>溪北村、溪南村、莲塘村、上湾村、市郊村、环市村、西洞村、富足村、高华村、黄再村、砂汤村、上围村、黄砂坑村、九河村、葛布村、田坫村、庵坑村、锡坑村、大坪村、仙丰村、志扬村、志南村、新美村、长林村、新埔村、口铺村、小东村、石九村、茶背村、蔗溪村、西山村、下南村、金岗村、上南村、岽下村、黄砂田村。</w:t>
            </w:r>
            <w:r>
              <w:rPr>
                <w:rStyle w:val="11"/>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埔寨镇：</w:t>
            </w:r>
            <w:r>
              <w:rPr>
                <w:rStyle w:val="11"/>
                <w:rFonts w:ascii="Times New Roman" w:hAnsi="Times New Roman" w:eastAsia="仿宋" w:cs="Times New Roman"/>
                <w:sz w:val="24"/>
                <w:szCs w:val="24"/>
                <w:highlight w:val="none"/>
                <w:lang w:val="en-US" w:eastAsia="zh-CN" w:bidi="ar"/>
              </w:rPr>
              <w:t>埔南村、埔北村、塔下村、茅园村、万安村、横坑村、学枫村、采芝村、埔西村。</w:t>
            </w:r>
            <w:r>
              <w:rPr>
                <w:rStyle w:val="11"/>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埔寨农场：</w:t>
            </w:r>
            <w:r>
              <w:rPr>
                <w:rStyle w:val="11"/>
                <w:rFonts w:ascii="Times New Roman" w:hAnsi="Times New Roman" w:eastAsia="仿宋" w:cs="Times New Roman"/>
                <w:sz w:val="24"/>
                <w:szCs w:val="24"/>
                <w:highlight w:val="none"/>
                <w:lang w:val="en-US" w:eastAsia="zh-CN" w:bidi="ar"/>
              </w:rPr>
              <w:t>埔寨农场、大塘肚村、半岭村。</w:t>
            </w:r>
            <w:r>
              <w:rPr>
                <w:rStyle w:val="13"/>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汤坑镇：</w:t>
            </w:r>
            <w:r>
              <w:rPr>
                <w:rStyle w:val="11"/>
                <w:rFonts w:ascii="Times New Roman" w:hAnsi="Times New Roman" w:eastAsia="仿宋" w:cs="Times New Roman"/>
                <w:sz w:val="24"/>
                <w:szCs w:val="24"/>
                <w:highlight w:val="none"/>
                <w:lang w:val="en-US" w:eastAsia="zh-CN" w:bidi="ar"/>
              </w:rPr>
              <w:t>大坝林场。</w:t>
            </w:r>
          </w:p>
        </w:tc>
      </w:tr>
      <w:tr w14:paraId="57CAE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5" w:hRule="atLeast"/>
        </w:trPr>
        <w:tc>
          <w:tcPr>
            <w:tcW w:w="101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5976BE4">
            <w:pPr>
              <w:keepNext w:val="0"/>
              <w:keepLines w:val="0"/>
              <w:pageBreakBefore w:val="0"/>
              <w:widowControl w:val="0"/>
              <w:kinsoku/>
              <w:wordWrap/>
              <w:overflowPunct/>
              <w:topLinePunct w:val="0"/>
              <w:autoSpaceDE/>
              <w:autoSpaceDN/>
              <w:bidi w:val="0"/>
              <w:adjustRightInd/>
              <w:snapToGrid/>
              <w:jc w:val="center"/>
              <w:rPr>
                <w:rFonts w:hint="eastAsia" w:ascii="Times New Roman" w:hAnsi="Times New Roman" w:eastAsia="仿宋" w:cs="Times New Roman"/>
                <w:i w:val="0"/>
                <w:iCs w:val="0"/>
                <w:color w:val="000000"/>
                <w:sz w:val="24"/>
                <w:szCs w:val="24"/>
                <w:highlight w:val="none"/>
                <w:u w:val="none"/>
              </w:rPr>
            </w:pPr>
          </w:p>
        </w:tc>
        <w:tc>
          <w:tcPr>
            <w:tcW w:w="74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F681B1E">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3</w:t>
            </w:r>
          </w:p>
        </w:tc>
        <w:tc>
          <w:tcPr>
            <w:tcW w:w="842"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FD7DD39">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4.09</w:t>
            </w:r>
          </w:p>
        </w:tc>
        <w:tc>
          <w:tcPr>
            <w:tcW w:w="142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99D15B1">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1.64</w:t>
            </w:r>
          </w:p>
        </w:tc>
        <w:tc>
          <w:tcPr>
            <w:tcW w:w="80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EEEBA35">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40%</w:t>
            </w:r>
          </w:p>
        </w:tc>
        <w:tc>
          <w:tcPr>
            <w:tcW w:w="1457"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D8FCC9A">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2.45</w:t>
            </w:r>
          </w:p>
        </w:tc>
        <w:tc>
          <w:tcPr>
            <w:tcW w:w="857"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F4EC31E">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i w:val="0"/>
                <w:iCs w:val="0"/>
                <w:color w:val="000000"/>
                <w:sz w:val="24"/>
                <w:szCs w:val="24"/>
                <w:highlight w:val="none"/>
                <w:u w:val="none"/>
              </w:rPr>
            </w:pPr>
            <w:r>
              <w:rPr>
                <w:rFonts w:hint="eastAsia" w:ascii="Times New Roman" w:hAnsi="Times New Roman" w:eastAsia="仿宋" w:cs="Times New Roman"/>
                <w:i w:val="0"/>
                <w:iCs w:val="0"/>
                <w:color w:val="000000"/>
                <w:kern w:val="0"/>
                <w:sz w:val="24"/>
                <w:szCs w:val="24"/>
                <w:highlight w:val="none"/>
                <w:u w:val="none"/>
                <w:lang w:val="en-US" w:eastAsia="zh-CN" w:bidi="ar"/>
              </w:rPr>
              <w:t>60%</w:t>
            </w:r>
          </w:p>
        </w:tc>
        <w:tc>
          <w:tcPr>
            <w:tcW w:w="741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ED33460">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潭江镇：</w:t>
            </w:r>
            <w:r>
              <w:rPr>
                <w:rStyle w:val="14"/>
                <w:rFonts w:ascii="Times New Roman" w:hAnsi="Times New Roman" w:eastAsia="仿宋" w:cs="Times New Roman"/>
                <w:sz w:val="24"/>
                <w:szCs w:val="24"/>
                <w:highlight w:val="none"/>
                <w:lang w:val="en-US" w:eastAsia="zh-CN" w:bidi="ar"/>
              </w:rPr>
              <w:t>潭江社区、枫坑村、胜溪村、大胜村、富溪村、降福村、丹竹洋村、溪西村、三洲溪村、官上村、官溪村、官下村、然新村、箭竹村、银溪村、凤坪村、社岽村、粉輋村。</w:t>
            </w:r>
            <w:r>
              <w:rPr>
                <w:rStyle w:val="14"/>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北斗镇：</w:t>
            </w:r>
            <w:r>
              <w:rPr>
                <w:rStyle w:val="14"/>
                <w:rFonts w:ascii="Times New Roman" w:hAnsi="Times New Roman" w:eastAsia="仿宋" w:cs="Times New Roman"/>
                <w:sz w:val="24"/>
                <w:szCs w:val="24"/>
                <w:highlight w:val="none"/>
                <w:lang w:val="en-US" w:eastAsia="zh-CN" w:bidi="ar"/>
              </w:rPr>
              <w:t>北斗村、庆瑶村、下溪村、茜坑村、拾荷村、才口村、桐新村、桐岽村；桐子洋林场。</w:t>
            </w:r>
            <w:r>
              <w:rPr>
                <w:rStyle w:val="14"/>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黄金镇：</w:t>
            </w:r>
            <w:r>
              <w:rPr>
                <w:rStyle w:val="14"/>
                <w:rFonts w:ascii="Times New Roman" w:hAnsi="Times New Roman" w:eastAsia="仿宋" w:cs="Times New Roman"/>
                <w:sz w:val="24"/>
                <w:szCs w:val="24"/>
                <w:highlight w:val="none"/>
                <w:lang w:val="en-US" w:eastAsia="zh-CN" w:bidi="ar"/>
              </w:rPr>
              <w:t>中心社区、径双村、清溪村、望楼村、鹅湖村、启明村、龙山村、三联村、湖田村、嶂背村、松青村、遍沙村、双灵村、三合村、光明村、深田村、东坑村、芹寨洋村、埔头角村、埔东村、隍洞村、杨石村、坑尾村、罗江村。</w:t>
            </w:r>
            <w:r>
              <w:rPr>
                <w:rStyle w:val="14"/>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潘田镇：</w:t>
            </w:r>
            <w:r>
              <w:rPr>
                <w:rStyle w:val="14"/>
                <w:rFonts w:ascii="Times New Roman" w:hAnsi="Times New Roman" w:eastAsia="仿宋" w:cs="Times New Roman"/>
                <w:sz w:val="24"/>
                <w:szCs w:val="24"/>
                <w:highlight w:val="none"/>
                <w:lang w:val="en-US" w:eastAsia="zh-CN" w:bidi="ar"/>
              </w:rPr>
              <w:t>中心村、填江村、松柏村、流坑村、石坑村、华亭村、集群村、铁坑村、新东村、上吉村、新南村、新联村；丰顺县农林场。</w:t>
            </w:r>
            <w:r>
              <w:rPr>
                <w:rStyle w:val="14"/>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建桥镇：</w:t>
            </w:r>
            <w:r>
              <w:rPr>
                <w:rStyle w:val="14"/>
                <w:rFonts w:ascii="Times New Roman" w:hAnsi="Times New Roman" w:eastAsia="仿宋" w:cs="Times New Roman"/>
                <w:sz w:val="24"/>
                <w:szCs w:val="24"/>
                <w:highlight w:val="none"/>
                <w:lang w:val="en-US" w:eastAsia="zh-CN" w:bidi="ar"/>
              </w:rPr>
              <w:t>环西村、郑屋村、岗围村、环东村、三社村、建安村、建桥村、三和村、新和村、环中村；建桥镇林业站（炉下林场）。</w:t>
            </w:r>
            <w:r>
              <w:rPr>
                <w:rStyle w:val="14"/>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龙岗镇：</w:t>
            </w:r>
            <w:r>
              <w:rPr>
                <w:rStyle w:val="14"/>
                <w:rFonts w:ascii="Times New Roman" w:hAnsi="Times New Roman" w:eastAsia="仿宋" w:cs="Times New Roman"/>
                <w:sz w:val="24"/>
                <w:szCs w:val="24"/>
                <w:highlight w:val="none"/>
                <w:lang w:val="en-US" w:eastAsia="zh-CN" w:bidi="ar"/>
              </w:rPr>
              <w:t>松江村、新华村、梅桥村、新合村、吉演村、上林村、松梅村、田坑村、江坑村、坪丰村、马图村。</w:t>
            </w:r>
            <w:r>
              <w:rPr>
                <w:rStyle w:val="14"/>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大龙华镇：</w:t>
            </w:r>
            <w:r>
              <w:rPr>
                <w:rStyle w:val="14"/>
                <w:rFonts w:ascii="Times New Roman" w:hAnsi="Times New Roman" w:eastAsia="仿宋" w:cs="Times New Roman"/>
                <w:sz w:val="24"/>
                <w:szCs w:val="24"/>
                <w:highlight w:val="none"/>
                <w:lang w:val="en-US" w:eastAsia="zh-CN" w:bidi="ar"/>
              </w:rPr>
              <w:t>大田村、田东村、岗背村、长布村、华东村、松坑村、叶华村、石门村、北溪村、双罗村、长埂村、径门村、上溪村、罗洋村、龙北村、铜山村。</w:t>
            </w:r>
            <w:r>
              <w:rPr>
                <w:rStyle w:val="14"/>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砂田镇：</w:t>
            </w:r>
            <w:r>
              <w:rPr>
                <w:rStyle w:val="14"/>
                <w:rFonts w:ascii="Times New Roman" w:hAnsi="Times New Roman" w:eastAsia="仿宋" w:cs="Times New Roman"/>
                <w:sz w:val="24"/>
                <w:szCs w:val="24"/>
                <w:highlight w:val="none"/>
                <w:lang w:val="en-US" w:eastAsia="zh-CN" w:bidi="ar"/>
              </w:rPr>
              <w:t>砂田村、金沙社区、新塘村、南洋村、南坑村、南溪村、茜坑村、黄花村、荐坪村、铜峰村、沙溪村、占下村、占中村、占上村、占山村、岳坑村、大坑村。</w:t>
            </w:r>
            <w:r>
              <w:rPr>
                <w:rStyle w:val="14"/>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八乡山镇：</w:t>
            </w:r>
            <w:r>
              <w:rPr>
                <w:rStyle w:val="14"/>
                <w:rFonts w:ascii="Times New Roman" w:hAnsi="Times New Roman" w:eastAsia="仿宋" w:cs="Times New Roman"/>
                <w:sz w:val="24"/>
                <w:szCs w:val="24"/>
                <w:highlight w:val="none"/>
                <w:lang w:val="en-US" w:eastAsia="zh-CN" w:bidi="ar"/>
              </w:rPr>
              <w:t>小溪村、滩良村、马山村、和乐村、贵人村、大竹村、方吉村、银河村、尖山村、蝉联村、硿尾村、龙岭村、苏坪村、高基村、戏潭村。</w:t>
            </w:r>
            <w:r>
              <w:rPr>
                <w:rStyle w:val="14"/>
                <w:rFonts w:ascii="Times New Roman" w:hAnsi="Times New Roman" w:eastAsia="仿宋" w:cs="Times New Roman"/>
                <w:sz w:val="24"/>
                <w:szCs w:val="24"/>
                <w:highlight w:val="none"/>
                <w:lang w:val="en-US" w:eastAsia="zh-CN" w:bidi="ar"/>
              </w:rPr>
              <w:br w:type="textWrapping"/>
            </w:r>
            <w:r>
              <w:rPr>
                <w:rStyle w:val="12"/>
                <w:rFonts w:ascii="Times New Roman" w:hAnsi="Times New Roman" w:eastAsia="仿宋" w:cs="Times New Roman"/>
                <w:sz w:val="24"/>
                <w:szCs w:val="24"/>
                <w:highlight w:val="none"/>
                <w:lang w:val="en-US" w:eastAsia="zh-CN" w:bidi="ar"/>
              </w:rPr>
              <w:t>小胜镇：</w:t>
            </w:r>
            <w:r>
              <w:rPr>
                <w:rStyle w:val="14"/>
                <w:rFonts w:ascii="Times New Roman" w:hAnsi="Times New Roman" w:eastAsia="仿宋" w:cs="Times New Roman"/>
                <w:sz w:val="24"/>
                <w:szCs w:val="24"/>
                <w:highlight w:val="none"/>
                <w:lang w:val="en-US" w:eastAsia="zh-CN" w:bidi="ar"/>
              </w:rPr>
              <w:t>小胜村、中社村、大南村、田背村、田面角村、三坑村、荷坪村、朱坑村、丹竹村、小溪村、磜下村。</w:t>
            </w:r>
          </w:p>
        </w:tc>
      </w:tr>
      <w:tr w14:paraId="1EEE2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4549" w:type="dxa"/>
            <w:gridSpan w:val="8"/>
            <w:tcBorders>
              <w:top w:val="nil"/>
              <w:left w:val="nil"/>
              <w:bottom w:val="nil"/>
              <w:right w:val="nil"/>
            </w:tcBorders>
            <w:shd w:val="clear" w:color="auto" w:fill="auto"/>
            <w:vAlign w:val="center"/>
          </w:tcPr>
          <w:p w14:paraId="4C7DAD7F">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Times New Roman" w:hAnsi="Times New Roman" w:eastAsia="仿宋" w:cs="Times New Roman"/>
                <w:b/>
                <w:bCs/>
                <w:i w:val="0"/>
                <w:iCs w:val="0"/>
                <w:color w:val="000000"/>
                <w:sz w:val="24"/>
                <w:szCs w:val="24"/>
                <w:highlight w:val="none"/>
                <w:u w:val="none"/>
              </w:rPr>
            </w:pPr>
            <w:r>
              <w:rPr>
                <w:rFonts w:hint="eastAsia" w:ascii="Times New Roman" w:hAnsi="Times New Roman" w:eastAsia="仿宋" w:cs="Times New Roman"/>
                <w:b/>
                <w:bCs/>
                <w:i w:val="0"/>
                <w:iCs w:val="0"/>
                <w:color w:val="000000"/>
                <w:kern w:val="0"/>
                <w:sz w:val="24"/>
                <w:szCs w:val="24"/>
                <w:highlight w:val="none"/>
                <w:u w:val="none"/>
                <w:lang w:val="en-US" w:eastAsia="zh-CN" w:bidi="ar"/>
              </w:rPr>
              <w:t>丰顺县征收农用地区片综合地价调节系数说明：</w:t>
            </w:r>
            <w:r>
              <w:rPr>
                <w:rStyle w:val="15"/>
                <w:rFonts w:ascii="Times New Roman" w:hAnsi="Times New Roman" w:eastAsia="仿宋" w:cs="Times New Roman"/>
                <w:sz w:val="24"/>
                <w:szCs w:val="24"/>
                <w:highlight w:val="none"/>
                <w:lang w:val="en-US" w:eastAsia="zh-CN" w:bidi="ar"/>
              </w:rPr>
              <w:t>林地调节系数为0.30，水田调节系数为1.20，园地调节系数为0.65，未利用地调节系数为0.4，建设用地参照征收农用地区片综合地价执行。</w:t>
            </w:r>
          </w:p>
        </w:tc>
      </w:tr>
    </w:tbl>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74"/>
      </w:tblGrid>
      <w:tr w14:paraId="2E156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9" w:hRule="atLeast"/>
        </w:trPr>
        <w:tc>
          <w:tcPr>
            <w:tcW w:w="14174" w:type="dxa"/>
            <w:tcBorders>
              <w:tl2br w:val="nil"/>
              <w:tr2bl w:val="nil"/>
            </w:tcBorders>
          </w:tcPr>
          <w:p w14:paraId="09795027">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w:hAnsi="Times New Roman" w:eastAsia="仿宋" w:cs="Times New Roman"/>
                <w:b/>
                <w:bCs/>
                <w:i w:val="0"/>
                <w:iCs w:val="0"/>
                <w:color w:val="000000"/>
                <w:kern w:val="0"/>
                <w:sz w:val="24"/>
                <w:szCs w:val="24"/>
                <w:highlight w:val="none"/>
                <w:u w:val="none"/>
                <w:vertAlign w:val="baseline"/>
                <w:lang w:val="en-US" w:eastAsia="zh-CN" w:bidi="ar"/>
              </w:rPr>
            </w:pPr>
            <w:r>
              <w:rPr>
                <w:rFonts w:hint="default" w:ascii="Times New Roman" w:hAnsi="Times New Roman" w:eastAsia="仿宋" w:cs="Times New Roman"/>
                <w:b/>
                <w:bCs/>
                <w:i w:val="0"/>
                <w:iCs w:val="0"/>
                <w:color w:val="000000"/>
                <w:kern w:val="0"/>
                <w:sz w:val="24"/>
                <w:szCs w:val="24"/>
                <w:highlight w:val="none"/>
                <w:u w:val="none"/>
                <w:vertAlign w:val="baseline"/>
                <w:lang w:val="en-US" w:eastAsia="zh-CN" w:bidi="ar"/>
              </w:rPr>
              <w:drawing>
                <wp:inline distT="0" distB="0" distL="114300" distR="114300">
                  <wp:extent cx="7235825" cy="5119370"/>
                  <wp:effectExtent l="0" t="0" r="3175" b="11430"/>
                  <wp:docPr id="2" name="图片 2" descr="2026丰顺地价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6丰顺地价图"/>
                          <pic:cNvPicPr>
                            <a:picLocks noChangeAspect="1"/>
                          </pic:cNvPicPr>
                        </pic:nvPicPr>
                        <pic:blipFill>
                          <a:blip r:embed="rId5"/>
                          <a:stretch>
                            <a:fillRect/>
                          </a:stretch>
                        </pic:blipFill>
                        <pic:spPr>
                          <a:xfrm>
                            <a:off x="0" y="0"/>
                            <a:ext cx="7235825" cy="5119370"/>
                          </a:xfrm>
                          <a:prstGeom prst="rect">
                            <a:avLst/>
                          </a:prstGeom>
                        </pic:spPr>
                      </pic:pic>
                    </a:graphicData>
                  </a:graphic>
                </wp:inline>
              </w:drawing>
            </w:r>
          </w:p>
        </w:tc>
      </w:tr>
      <w:tr w14:paraId="79893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4174" w:type="dxa"/>
            <w:tcBorders>
              <w:tl2br w:val="nil"/>
              <w:tr2bl w:val="nil"/>
            </w:tcBorders>
          </w:tcPr>
          <w:p w14:paraId="74D8B00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 w:cs="Times New Roman"/>
                <w:b/>
                <w:bCs/>
                <w:i w:val="0"/>
                <w:iCs w:val="0"/>
                <w:color w:val="000000"/>
                <w:kern w:val="0"/>
                <w:sz w:val="24"/>
                <w:szCs w:val="24"/>
                <w:highlight w:val="none"/>
                <w:u w:val="none"/>
                <w:vertAlign w:val="baseline"/>
                <w:lang w:val="en-US" w:eastAsia="zh-CN" w:bidi="ar"/>
              </w:rPr>
            </w:pPr>
            <w:r>
              <w:rPr>
                <w:rFonts w:hint="eastAsia" w:ascii="Times New Roman" w:hAnsi="Times New Roman" w:eastAsia="仿宋" w:cs="Times New Roman"/>
                <w:b/>
                <w:bCs/>
                <w:i w:val="0"/>
                <w:iCs w:val="0"/>
                <w:color w:val="000000"/>
                <w:kern w:val="0"/>
                <w:sz w:val="24"/>
                <w:szCs w:val="24"/>
                <w:highlight w:val="none"/>
                <w:u w:val="none"/>
                <w:lang w:val="en-US" w:eastAsia="zh-CN" w:bidi="ar"/>
              </w:rPr>
              <w:t>图1 丰顺县征收农用地区片综合地价分布图</w:t>
            </w:r>
          </w:p>
        </w:tc>
      </w:tr>
    </w:tbl>
    <w:p w14:paraId="724AF1DA">
      <w:pPr>
        <w:keepNext w:val="0"/>
        <w:keepLines w:val="0"/>
        <w:pageBreakBefore w:val="0"/>
        <w:widowControl/>
        <w:tabs>
          <w:tab w:val="left" w:pos="1486"/>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i w:val="0"/>
          <w:iCs w:val="0"/>
          <w:color w:val="000000"/>
          <w:kern w:val="0"/>
          <w:sz w:val="24"/>
          <w:szCs w:val="24"/>
          <w:highlight w:val="none"/>
          <w:u w:val="none"/>
          <w:lang w:val="en-US" w:eastAsia="zh-CN" w:bidi="ar"/>
        </w:rPr>
      </w:pPr>
    </w:p>
    <w:sectPr>
      <w:pgSz w:w="16838" w:h="11906" w:orient="landscape"/>
      <w:pgMar w:top="1463" w:right="1440" w:bottom="1463" w:left="144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DACD0C12-BDE4-4B82-8188-249AAC8602C5}"/>
  </w:font>
  <w:font w:name="方正小标宋简体">
    <w:panose1 w:val="02000000000000000000"/>
    <w:charset w:val="86"/>
    <w:family w:val="auto"/>
    <w:pitch w:val="default"/>
    <w:sig w:usb0="00000001" w:usb1="08000000" w:usb2="00000000" w:usb3="00000000" w:csb0="00040000" w:csb1="00000000"/>
    <w:embedRegular r:id="rId2" w:fontKey="{FD20B86B-A4B6-499E-8725-53A527D79D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4138336"/>
      <w:docPartObj>
        <w:docPartGallery w:val="autotext"/>
      </w:docPartObj>
    </w:sdtPr>
    <w:sdtContent>
      <w:p w14:paraId="371FBB59">
        <w:pPr>
          <w:pStyle w:val="4"/>
          <w:jc w:val="center"/>
        </w:pPr>
        <w:r>
          <w:fldChar w:fldCharType="begin"/>
        </w:r>
        <w:r>
          <w:instrText xml:space="preserve"> PAGE   \* MERGEFORMAT </w:instrText>
        </w:r>
        <w:r>
          <w:fldChar w:fldCharType="separate"/>
        </w:r>
        <w:r>
          <w:rPr>
            <w:lang w:val="zh-CN"/>
          </w:rPr>
          <w:t>3</w:t>
        </w:r>
        <w:r>
          <w:rPr>
            <w:lang w:val="zh-CN"/>
          </w:rPr>
          <w:fldChar w:fldCharType="end"/>
        </w:r>
      </w:p>
    </w:sdtContent>
  </w:sdt>
  <w:p w14:paraId="31561EC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OWU4OWJjYWYzZDZlNmVkZWYxNzg4NTcxYzU0YmEifQ=="/>
  </w:docVars>
  <w:rsids>
    <w:rsidRoot w:val="7C3C4B42"/>
    <w:rsid w:val="00360206"/>
    <w:rsid w:val="004A701B"/>
    <w:rsid w:val="005857E6"/>
    <w:rsid w:val="00861540"/>
    <w:rsid w:val="008822B1"/>
    <w:rsid w:val="00BF45B2"/>
    <w:rsid w:val="00CC4B97"/>
    <w:rsid w:val="00E038FF"/>
    <w:rsid w:val="00E14006"/>
    <w:rsid w:val="00F93ACD"/>
    <w:rsid w:val="04D7187F"/>
    <w:rsid w:val="0996241E"/>
    <w:rsid w:val="112428AE"/>
    <w:rsid w:val="11513D10"/>
    <w:rsid w:val="12E05D00"/>
    <w:rsid w:val="1890336F"/>
    <w:rsid w:val="2424465B"/>
    <w:rsid w:val="30742C3E"/>
    <w:rsid w:val="32982967"/>
    <w:rsid w:val="3E1341BA"/>
    <w:rsid w:val="41190132"/>
    <w:rsid w:val="44707BC3"/>
    <w:rsid w:val="4E676345"/>
    <w:rsid w:val="4FD61243"/>
    <w:rsid w:val="5200380D"/>
    <w:rsid w:val="54404B8F"/>
    <w:rsid w:val="59FF1CD9"/>
    <w:rsid w:val="5C593AA7"/>
    <w:rsid w:val="67D05295"/>
    <w:rsid w:val="6A93217B"/>
    <w:rsid w:val="6FF607ED"/>
    <w:rsid w:val="71C20CA2"/>
    <w:rsid w:val="78CC37D6"/>
    <w:rsid w:val="7C3C4B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1"/>
    <w:pPr>
      <w:autoSpaceDE w:val="0"/>
      <w:autoSpaceDN w:val="0"/>
      <w:spacing w:before="54"/>
      <w:ind w:left="1080"/>
      <w:jc w:val="left"/>
      <w:outlineLvl w:val="0"/>
    </w:pPr>
    <w:rPr>
      <w:rFonts w:ascii="仿宋_GB2312" w:hAnsi="仿宋_GB2312" w:eastAsia="仿宋_GB2312" w:cs="仿宋_GB2312"/>
      <w:b/>
      <w:bCs/>
      <w:kern w:val="0"/>
      <w:sz w:val="32"/>
      <w:szCs w:val="32"/>
      <w:lang w:val="zh-CN" w:bidi="zh-CN"/>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5"/>
    <w:qFormat/>
    <w:uiPriority w:val="0"/>
    <w:rPr>
      <w:rFonts w:asciiTheme="minorHAnsi" w:hAnsiTheme="minorHAnsi" w:eastAsiaTheme="minorEastAsia" w:cstheme="minorBidi"/>
      <w:kern w:val="2"/>
      <w:sz w:val="18"/>
      <w:szCs w:val="18"/>
    </w:rPr>
  </w:style>
  <w:style w:type="character" w:customStyle="1" w:styleId="10">
    <w:name w:val="页脚 Char"/>
    <w:basedOn w:val="8"/>
    <w:link w:val="4"/>
    <w:qFormat/>
    <w:uiPriority w:val="99"/>
    <w:rPr>
      <w:rFonts w:asciiTheme="minorHAnsi" w:hAnsiTheme="minorHAnsi" w:eastAsiaTheme="minorEastAsia" w:cstheme="minorBidi"/>
      <w:kern w:val="2"/>
      <w:sz w:val="18"/>
      <w:szCs w:val="18"/>
    </w:rPr>
  </w:style>
  <w:style w:type="character" w:customStyle="1" w:styleId="11">
    <w:name w:val="font51"/>
    <w:basedOn w:val="8"/>
    <w:qFormat/>
    <w:uiPriority w:val="0"/>
    <w:rPr>
      <w:rFonts w:hint="eastAsia" w:ascii="宋体" w:hAnsi="宋体" w:eastAsia="宋体" w:cs="宋体"/>
      <w:color w:val="000000"/>
      <w:sz w:val="16"/>
      <w:szCs w:val="16"/>
      <w:u w:val="none"/>
    </w:rPr>
  </w:style>
  <w:style w:type="character" w:customStyle="1" w:styleId="12">
    <w:name w:val="font61"/>
    <w:basedOn w:val="8"/>
    <w:qFormat/>
    <w:uiPriority w:val="0"/>
    <w:rPr>
      <w:rFonts w:hint="eastAsia" w:ascii="黑体" w:hAnsi="宋体" w:eastAsia="黑体" w:cs="黑体"/>
      <w:b/>
      <w:bCs/>
      <w:color w:val="000000"/>
      <w:sz w:val="16"/>
      <w:szCs w:val="16"/>
      <w:u w:val="none"/>
    </w:rPr>
  </w:style>
  <w:style w:type="character" w:customStyle="1" w:styleId="13">
    <w:name w:val="font41"/>
    <w:basedOn w:val="8"/>
    <w:qFormat/>
    <w:uiPriority w:val="0"/>
    <w:rPr>
      <w:rFonts w:hint="eastAsia" w:ascii="黑体" w:hAnsi="宋体" w:eastAsia="黑体" w:cs="黑体"/>
      <w:color w:val="000000"/>
      <w:sz w:val="16"/>
      <w:szCs w:val="16"/>
      <w:u w:val="none"/>
    </w:rPr>
  </w:style>
  <w:style w:type="character" w:customStyle="1" w:styleId="14">
    <w:name w:val="font81"/>
    <w:basedOn w:val="8"/>
    <w:qFormat/>
    <w:uiPriority w:val="0"/>
    <w:rPr>
      <w:rFonts w:hint="eastAsia" w:ascii="宋体" w:hAnsi="宋体" w:eastAsia="宋体" w:cs="宋体"/>
      <w:color w:val="000000"/>
      <w:sz w:val="16"/>
      <w:szCs w:val="16"/>
      <w:u w:val="none"/>
    </w:rPr>
  </w:style>
  <w:style w:type="character" w:customStyle="1" w:styleId="15">
    <w:name w:val="font3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县国土局</Company>
  <Pages>5</Pages>
  <Words>2260</Words>
  <Characters>2363</Characters>
  <Lines>9</Lines>
  <Paragraphs>2</Paragraphs>
  <TotalTime>34</TotalTime>
  <ScaleCrop>false</ScaleCrop>
  <LinksUpToDate>false</LinksUpToDate>
  <CharactersWithSpaces>2365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2023-11-16T13:56:00Z</dcterms:created>
  <dc:creator>超儿</dc:creator>
  <cp:lastModifiedBy>Y</cp:lastModifiedBy>
  <dcterms:modified xsi:type="dcterms:W3CDTF">2026-08-06T01:09:04Z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9B086715E57546B78A117E2EDD677F7F_13</vt:lpwstr>
  </property>
  <property fmtid="{D5CDD505-2E9C-101B-9397-08002B2CF9AE}" pid="4" name="KSOTemplateDocerSaveRecord">
    <vt:lpwstr>eyJoZGlkIjoiZTMwZTcxNjJjZjA2MjYyZWNkNzRkNTIwMWEzYWZlODQiLCJ1c2VySWQiOiIyMDEyMzUwMTMifQ==</vt:lpwstr>
  </property>
</Properties>
</file>