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6AB3F">
      <w:pPr>
        <w:keepNext w:val="0"/>
        <w:keepLines w:val="0"/>
        <w:pageBreakBefore w:val="0"/>
        <w:widowControl w:val="0"/>
        <w:kinsoku/>
        <w:wordWrap/>
        <w:overflowPunct/>
        <w:topLinePunct w:val="0"/>
        <w:autoSpaceDE/>
        <w:autoSpaceDN/>
        <w:bidi w:val="0"/>
        <w:adjustRightInd w:val="0"/>
        <w:snapToGrid w:val="0"/>
        <w:spacing w:after="0" w:afterLines="0" w:line="240" w:lineRule="auto"/>
        <w:jc w:val="left"/>
        <w:textAlignment w:val="auto"/>
        <w:rPr>
          <w:rFonts w:hint="eastAsia" w:ascii="Times New Roman" w:hAnsi="Times New Roman" w:eastAsia="仿宋" w:cs="Times New Roman"/>
          <w:b/>
          <w:sz w:val="36"/>
          <w:szCs w:val="36"/>
          <w:highlight w:val="none"/>
          <w:lang w:val="en-US" w:eastAsia="zh-CN"/>
        </w:rPr>
      </w:pPr>
      <w:r>
        <w:rPr>
          <w:rFonts w:hint="eastAsia" w:ascii="Times New Roman" w:hAnsi="Times New Roman" w:eastAsia="仿宋" w:cs="Times New Roman"/>
          <w:b/>
          <w:sz w:val="36"/>
          <w:szCs w:val="36"/>
          <w:highlight w:val="none"/>
          <w:lang w:val="en-US" w:eastAsia="zh-CN"/>
        </w:rPr>
        <w:t>附件3：</w:t>
      </w:r>
    </w:p>
    <w:p w14:paraId="4D798C69">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方正小标宋简体" w:hAnsi="方正小标宋简体" w:eastAsia="方正小标宋简体" w:cs="方正小标宋简体"/>
          <w:b w:val="0"/>
          <w:bCs/>
          <w:sz w:val="44"/>
          <w:szCs w:val="44"/>
          <w:highlight w:val="none"/>
          <w:lang w:val="en-US" w:eastAsia="zh-CN"/>
        </w:rPr>
      </w:pPr>
      <w:r>
        <w:rPr>
          <w:rFonts w:hint="eastAsia" w:ascii="方正小标宋简体" w:hAnsi="方正小标宋简体" w:eastAsia="方正小标宋简体" w:cs="方正小标宋简体"/>
          <w:b w:val="0"/>
          <w:bCs/>
          <w:sz w:val="44"/>
          <w:szCs w:val="44"/>
          <w:highlight w:val="none"/>
          <w:lang w:val="en-US" w:eastAsia="zh-CN"/>
        </w:rPr>
        <w:t>丰顺县征收集体土地留用地补偿标准</w:t>
      </w:r>
    </w:p>
    <w:p w14:paraId="66894241">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方正小标宋简体" w:hAnsi="方正小标宋简体" w:eastAsia="方正小标宋简体" w:cs="方正小标宋简体"/>
          <w:b w:val="0"/>
          <w:bCs/>
          <w:sz w:val="44"/>
          <w:szCs w:val="44"/>
          <w:highlight w:val="none"/>
          <w:lang w:val="en-US" w:eastAsia="zh-CN"/>
        </w:rPr>
      </w:pPr>
      <w:r>
        <w:rPr>
          <w:rFonts w:hint="eastAsia" w:ascii="方正小标宋简体" w:hAnsi="方正小标宋简体" w:eastAsia="方正小标宋简体" w:cs="方正小标宋简体"/>
          <w:b w:val="0"/>
          <w:bCs/>
          <w:sz w:val="44"/>
          <w:szCs w:val="44"/>
          <w:highlight w:val="none"/>
          <w:lang w:val="en-US" w:eastAsia="zh-CN"/>
        </w:rPr>
        <w:t>（公众征求意见稿）</w:t>
      </w:r>
    </w:p>
    <w:p w14:paraId="1A676964">
      <w:pPr>
        <w:keepNext w:val="0"/>
        <w:keepLines w:val="0"/>
        <w:pageBreakBefore w:val="0"/>
        <w:widowControl w:val="0"/>
        <w:kinsoku/>
        <w:wordWrap/>
        <w:overflowPunct/>
        <w:topLinePunct w:val="0"/>
        <w:autoSpaceDE/>
        <w:autoSpaceDN/>
        <w:bidi w:val="0"/>
        <w:adjustRightInd w:val="0"/>
        <w:snapToGrid w:val="0"/>
        <w:spacing w:after="0" w:afterLines="-2147483648"/>
        <w:jc w:val="left"/>
        <w:textAlignment w:val="auto"/>
        <w:rPr>
          <w:rFonts w:hint="eastAsia" w:ascii="Times New Roman" w:hAnsi="Times New Roman" w:eastAsia="仿宋" w:cs="Times New Roman"/>
          <w:b/>
          <w:sz w:val="36"/>
          <w:szCs w:val="36"/>
          <w:highlight w:val="none"/>
          <w:lang w:val="en-US" w:eastAsia="zh-CN"/>
        </w:rPr>
      </w:pPr>
    </w:p>
    <w:p w14:paraId="2EEC30E5">
      <w:pPr>
        <w:pStyle w:val="5"/>
        <w:keepLines w:val="0"/>
        <w:pageBreakBefore w:val="0"/>
        <w:widowControl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val="0"/>
        <w:snapToGrid w:val="0"/>
        <w:spacing w:before="0" w:beforeAutospacing="0" w:afterAutospacing="0" w:line="360" w:lineRule="auto"/>
        <w:ind w:firstLine="560" w:firstLineChars="200"/>
        <w:jc w:val="both"/>
        <w:textAlignment w:val="auto"/>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根据《中华人民共和国土地管理法》《广东省土地管理条例》《广东省自然资源厅关于做好区片综合地价调整或重新公布工作的通知》（粤自然资函〔2026〕316号）</w:t>
      </w:r>
      <w:r>
        <w:rPr>
          <w:rFonts w:hint="eastAsia" w:ascii="Times New Roman" w:hAnsi="Times New Roman" w:eastAsia="仿宋" w:cs="Times New Roman"/>
          <w:color w:val="auto"/>
          <w:kern w:val="0"/>
          <w:sz w:val="28"/>
          <w:szCs w:val="28"/>
          <w:highlight w:val="none"/>
          <w:lang w:eastAsia="zh-CN"/>
        </w:rPr>
        <w:t>、</w:t>
      </w:r>
      <w:r>
        <w:rPr>
          <w:rFonts w:hint="eastAsia" w:ascii="Times New Roman" w:hAnsi="Times New Roman" w:eastAsia="仿宋" w:cs="Times New Roman"/>
          <w:sz w:val="28"/>
          <w:szCs w:val="28"/>
          <w:highlight w:val="none"/>
        </w:rPr>
        <w:t>《广东省自然资源厅关于加快制定征收地上附着物和青苗补偿标准的通知》（</w:t>
      </w:r>
      <w:r>
        <w:rPr>
          <w:rFonts w:ascii="Times New Roman" w:hAnsi="Times New Roman" w:eastAsia="仿宋" w:cs="Times New Roman"/>
          <w:sz w:val="28"/>
          <w:szCs w:val="28"/>
          <w:highlight w:val="none"/>
        </w:rPr>
        <w:t>粤自然资管制〔202</w:t>
      </w:r>
      <w:r>
        <w:rPr>
          <w:rFonts w:hint="eastAsia" w:ascii="Times New Roman" w:hAnsi="Times New Roman" w:eastAsia="仿宋" w:cs="Times New Roman"/>
          <w:sz w:val="28"/>
          <w:szCs w:val="28"/>
          <w:highlight w:val="none"/>
        </w:rPr>
        <w:t>2〕2889号）</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《广东省人民政府办公厅关于进一步优化征收农村集体土地留用地管理促进留用地高效开发利用的意见》（粤府办〔2026〕6号）</w:t>
      </w:r>
      <w:r>
        <w:rPr>
          <w:rFonts w:hint="eastAsia" w:ascii="Times New Roman" w:hAnsi="Times New Roman" w:eastAsia="仿宋" w:cs="Times New Roman"/>
          <w:sz w:val="28"/>
          <w:szCs w:val="28"/>
          <w:highlight w:val="none"/>
          <w:lang w:val="en-US" w:eastAsia="zh-CN"/>
        </w:rPr>
        <w:t>和《</w:t>
      </w:r>
      <w:r>
        <w:rPr>
          <w:rFonts w:hint="eastAsia" w:ascii="Times New Roman" w:hAnsi="Times New Roman" w:eastAsia="仿宋" w:cs="Times New Roman"/>
          <w:sz w:val="28"/>
          <w:szCs w:val="28"/>
          <w:highlight w:val="none"/>
        </w:rPr>
        <w:t>广东省人民政府办公厅关于加强征收农村集体土地留用地安置管理工作的意见</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粤府办〔2016〕30号</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的规定，我县按照省厅要求正在开展征收农用地区片综合地价、地上附着物和青苗补偿标准及集体留用地补偿标准</w:t>
      </w:r>
      <w:r>
        <w:rPr>
          <w:rFonts w:hint="eastAsia" w:ascii="Times New Roman" w:hAnsi="Times New Roman" w:eastAsia="仿宋" w:cs="Times New Roman"/>
          <w:sz w:val="28"/>
          <w:szCs w:val="28"/>
          <w:highlight w:val="none"/>
          <w:lang w:val="en-US" w:eastAsia="zh-CN"/>
        </w:rPr>
        <w:t>更新</w:t>
      </w:r>
      <w:r>
        <w:rPr>
          <w:rFonts w:hint="eastAsia" w:ascii="Times New Roman" w:hAnsi="Times New Roman" w:eastAsia="仿宋" w:cs="Times New Roman"/>
          <w:sz w:val="28"/>
          <w:szCs w:val="28"/>
          <w:highlight w:val="none"/>
        </w:rPr>
        <w:t>工作，以保障我县土地房屋被征收单位和个人的合法权益，确保我县土地房屋征收工作顺利进行，便于实际操作，延用现行执行标准。现就</w:t>
      </w:r>
      <w:r>
        <w:rPr>
          <w:rFonts w:hint="eastAsia" w:ascii="Times New Roman" w:hAnsi="Times New Roman" w:eastAsia="仿宋" w:cs="Times New Roman"/>
          <w:sz w:val="28"/>
          <w:szCs w:val="28"/>
          <w:highlight w:val="none"/>
          <w:lang w:val="en-US" w:eastAsia="zh-CN"/>
        </w:rPr>
        <w:t>重新公布丰顺县征收集体土地留用地补偿标准的内容</w:t>
      </w:r>
      <w:r>
        <w:rPr>
          <w:rFonts w:hint="eastAsia" w:ascii="Times New Roman" w:hAnsi="Times New Roman" w:eastAsia="仿宋" w:cs="Times New Roman"/>
          <w:sz w:val="28"/>
          <w:szCs w:val="28"/>
          <w:highlight w:val="none"/>
        </w:rPr>
        <w:t>明确如下：</w:t>
      </w:r>
    </w:p>
    <w:p w14:paraId="34D507B8">
      <w:pPr>
        <w:keepNext/>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firstLine="0" w:firstLineChars="0"/>
        <w:jc w:val="both"/>
        <w:textAlignment w:val="auto"/>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一、留用地安排</w:t>
      </w:r>
    </w:p>
    <w:p w14:paraId="075003E5">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firstLine="560" w:firstLineChars="200"/>
        <w:jc w:val="both"/>
        <w:textAlignment w:val="auto"/>
        <w:rPr>
          <w:rFonts w:hint="eastAsia" w:ascii="Times New Roman" w:hAnsi="Times New Roman" w:eastAsia="仿宋" w:cs="Times New Roman"/>
          <w:color w:val="auto"/>
          <w:kern w:val="0"/>
          <w:sz w:val="28"/>
          <w:szCs w:val="28"/>
          <w:highlight w:val="none"/>
        </w:rPr>
      </w:pPr>
      <w:r>
        <w:rPr>
          <w:rFonts w:hint="eastAsia" w:ascii="Times New Roman" w:hAnsi="Times New Roman" w:eastAsia="仿宋" w:cs="Times New Roman"/>
          <w:color w:val="auto"/>
          <w:kern w:val="0"/>
          <w:sz w:val="28"/>
          <w:szCs w:val="28"/>
          <w:highlight w:val="none"/>
          <w:lang w:val="en-US" w:eastAsia="zh-CN"/>
        </w:rPr>
        <w:t>根据</w:t>
      </w:r>
      <w:r>
        <w:rPr>
          <w:rFonts w:hint="eastAsia" w:ascii="Times New Roman" w:hAnsi="Times New Roman" w:eastAsia="仿宋" w:cs="Times New Roman"/>
          <w:color w:val="auto"/>
          <w:kern w:val="0"/>
          <w:sz w:val="28"/>
          <w:szCs w:val="28"/>
          <w:highlight w:val="none"/>
        </w:rPr>
        <w:t>《广东省人民政府办公厅关于进一步优化征收农村集体土地留用地管理促进留用地高效开发利用的意见》（粤府办〔2026〕6号）</w:t>
      </w:r>
      <w:r>
        <w:rPr>
          <w:rFonts w:hint="eastAsia" w:ascii="Times New Roman" w:hAnsi="Times New Roman" w:eastAsia="仿宋" w:cs="Times New Roman"/>
          <w:color w:val="auto"/>
          <w:kern w:val="0"/>
          <w:sz w:val="28"/>
          <w:szCs w:val="28"/>
          <w:highlight w:val="none"/>
          <w:lang w:eastAsia="zh-CN"/>
        </w:rPr>
        <w:t>（</w:t>
      </w:r>
      <w:r>
        <w:rPr>
          <w:rFonts w:hint="eastAsia" w:ascii="Times New Roman" w:hAnsi="Times New Roman" w:eastAsia="仿宋" w:cs="Times New Roman"/>
          <w:color w:val="auto"/>
          <w:kern w:val="0"/>
          <w:sz w:val="28"/>
          <w:szCs w:val="28"/>
          <w:highlight w:val="none"/>
          <w:lang w:val="en-US" w:eastAsia="zh-CN"/>
        </w:rPr>
        <w:t>以下称《意见》</w:t>
      </w:r>
      <w:r>
        <w:rPr>
          <w:rFonts w:hint="eastAsia" w:ascii="Times New Roman" w:hAnsi="Times New Roman" w:eastAsia="仿宋" w:cs="Times New Roman"/>
          <w:color w:val="auto"/>
          <w:kern w:val="0"/>
          <w:sz w:val="28"/>
          <w:szCs w:val="28"/>
          <w:highlight w:val="none"/>
          <w:lang w:eastAsia="zh-CN"/>
        </w:rPr>
        <w:t>）</w:t>
      </w:r>
      <w:r>
        <w:rPr>
          <w:rFonts w:hint="eastAsia" w:ascii="Times New Roman" w:hAnsi="Times New Roman" w:eastAsia="仿宋" w:cs="Times New Roman"/>
          <w:color w:val="auto"/>
          <w:kern w:val="0"/>
          <w:sz w:val="28"/>
          <w:szCs w:val="28"/>
          <w:highlight w:val="none"/>
          <w:lang w:val="en-US" w:eastAsia="zh-CN"/>
        </w:rPr>
        <w:t>规定，在《意见》于2026年11月12日</w:t>
      </w:r>
      <w:r>
        <w:rPr>
          <w:rFonts w:hint="eastAsia" w:ascii="Times New Roman" w:hAnsi="Times New Roman" w:eastAsia="仿宋" w:cs="Times New Roman"/>
          <w:color w:val="auto"/>
          <w:kern w:val="0"/>
          <w:sz w:val="28"/>
          <w:szCs w:val="28"/>
          <w:highlight w:val="none"/>
        </w:rPr>
        <w:t>施行前，已签订征地补偿安置协议或其他有效书面方式约定安置方式但尚未兑现的留用地（以下称历史留用地）优先按约定的方式和比例兑现。</w:t>
      </w:r>
      <w:r>
        <w:rPr>
          <w:rFonts w:hint="eastAsia" w:ascii="Times New Roman" w:hAnsi="Times New Roman" w:eastAsia="仿宋" w:cs="Times New Roman"/>
          <w:color w:val="auto"/>
          <w:kern w:val="0"/>
          <w:sz w:val="28"/>
          <w:szCs w:val="28"/>
          <w:highlight w:val="none"/>
          <w:lang w:val="en-US" w:eastAsia="zh-CN"/>
        </w:rPr>
        <w:t>《意见》</w:t>
      </w:r>
      <w:r>
        <w:rPr>
          <w:rFonts w:hint="eastAsia" w:ascii="Times New Roman" w:hAnsi="Times New Roman" w:eastAsia="仿宋" w:cs="Times New Roman"/>
          <w:color w:val="auto"/>
          <w:kern w:val="0"/>
          <w:sz w:val="28"/>
          <w:szCs w:val="28"/>
          <w:highlight w:val="none"/>
        </w:rPr>
        <w:t>施行后，征收农村集体土地新增留用地原则上采取非实地留用的方式安置。</w:t>
      </w:r>
    </w:p>
    <w:p w14:paraId="7CC8AC98">
      <w:pPr>
        <w:keepLines w:val="0"/>
        <w:pageBreakBefore w:val="0"/>
        <w:widowControl w:val="0"/>
        <w:numPr>
          <w:ilvl w:val="0"/>
          <w:numId w:val="0"/>
        </w:numPr>
        <w:kinsoku/>
        <w:wordWrap/>
        <w:overflowPunct/>
        <w:topLinePunct w:val="0"/>
        <w:autoSpaceDE w:val="0"/>
        <w:autoSpaceDN w:val="0"/>
        <w:bidi w:val="0"/>
        <w:adjustRightInd w:val="0"/>
        <w:snapToGrid w:val="0"/>
        <w:spacing w:beforeAutospacing="0" w:afterAutospacing="0" w:line="360" w:lineRule="auto"/>
        <w:ind w:firstLine="560" w:firstLineChars="200"/>
        <w:jc w:val="both"/>
        <w:textAlignment w:val="auto"/>
        <w:rPr>
          <w:rFonts w:hint="eastAsia"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lang w:eastAsia="zh-CN"/>
        </w:rPr>
        <w:t>（</w:t>
      </w:r>
      <w:r>
        <w:rPr>
          <w:rFonts w:hint="eastAsia" w:ascii="Times New Roman" w:hAnsi="Times New Roman" w:eastAsia="仿宋" w:cs="Times New Roman"/>
          <w:kern w:val="0"/>
          <w:sz w:val="28"/>
          <w:szCs w:val="28"/>
          <w:highlight w:val="none"/>
          <w:lang w:val="en-US" w:eastAsia="zh-CN"/>
        </w:rPr>
        <w:t>一</w:t>
      </w:r>
      <w:r>
        <w:rPr>
          <w:rFonts w:hint="eastAsia" w:ascii="Times New Roman" w:hAnsi="Times New Roman" w:eastAsia="仿宋" w:cs="Times New Roman"/>
          <w:kern w:val="0"/>
          <w:sz w:val="28"/>
          <w:szCs w:val="28"/>
          <w:highlight w:val="none"/>
          <w:lang w:eastAsia="zh-CN"/>
        </w:rPr>
        <w:t>）</w:t>
      </w:r>
      <w:r>
        <w:rPr>
          <w:rFonts w:hint="eastAsia" w:ascii="Times New Roman" w:hAnsi="Times New Roman" w:eastAsia="仿宋" w:cs="Times New Roman"/>
          <w:kern w:val="0"/>
          <w:sz w:val="28"/>
          <w:szCs w:val="28"/>
          <w:highlight w:val="none"/>
        </w:rPr>
        <w:t>历史留用地：以村民小组为单位，被征收农村集体经济组织的留用地，按征收各地类总面积的</w:t>
      </w:r>
      <w:r>
        <w:rPr>
          <w:rFonts w:ascii="Times New Roman" w:hAnsi="Times New Roman" w:eastAsia="仿宋" w:cs="Times New Roman"/>
          <w:kern w:val="0"/>
          <w:sz w:val="28"/>
          <w:szCs w:val="28"/>
          <w:highlight w:val="none"/>
        </w:rPr>
        <w:t>10%</w:t>
      </w:r>
      <w:r>
        <w:rPr>
          <w:rFonts w:hint="eastAsia" w:ascii="Times New Roman" w:hAnsi="Times New Roman" w:eastAsia="仿宋" w:cs="Times New Roman"/>
          <w:kern w:val="0"/>
          <w:sz w:val="28"/>
          <w:szCs w:val="28"/>
          <w:highlight w:val="none"/>
        </w:rPr>
        <w:t>安排；选择货币补偿的，按征收各地类总面积的</w:t>
      </w:r>
      <w:r>
        <w:rPr>
          <w:rFonts w:ascii="Times New Roman" w:hAnsi="Times New Roman" w:eastAsia="仿宋" w:cs="Times New Roman"/>
          <w:kern w:val="0"/>
          <w:sz w:val="28"/>
          <w:szCs w:val="28"/>
          <w:highlight w:val="none"/>
        </w:rPr>
        <w:t>13%</w:t>
      </w:r>
      <w:r>
        <w:rPr>
          <w:rFonts w:hint="eastAsia" w:ascii="Times New Roman" w:hAnsi="Times New Roman" w:eastAsia="仿宋" w:cs="Times New Roman"/>
          <w:kern w:val="0"/>
          <w:sz w:val="28"/>
          <w:szCs w:val="28"/>
          <w:highlight w:val="none"/>
        </w:rPr>
        <w:t>计算留用地；留用地不足</w:t>
      </w:r>
      <w:r>
        <w:rPr>
          <w:rFonts w:ascii="Times New Roman" w:hAnsi="Times New Roman" w:eastAsia="仿宋" w:cs="Times New Roman"/>
          <w:kern w:val="0"/>
          <w:sz w:val="28"/>
          <w:szCs w:val="28"/>
          <w:highlight w:val="none"/>
        </w:rPr>
        <w:t>10</w:t>
      </w:r>
      <w:r>
        <w:rPr>
          <w:rFonts w:hint="eastAsia" w:ascii="Times New Roman" w:hAnsi="Times New Roman" w:eastAsia="仿宋" w:cs="Times New Roman"/>
          <w:kern w:val="0"/>
          <w:sz w:val="28"/>
          <w:szCs w:val="28"/>
          <w:highlight w:val="none"/>
        </w:rPr>
        <w:t>亩，或者该村民小组无符合规划土地可安排的，按征收各地类总面积的</w:t>
      </w:r>
      <w:r>
        <w:rPr>
          <w:rFonts w:ascii="Times New Roman" w:hAnsi="Times New Roman" w:eastAsia="仿宋" w:cs="Times New Roman"/>
          <w:kern w:val="0"/>
          <w:sz w:val="28"/>
          <w:szCs w:val="28"/>
          <w:highlight w:val="none"/>
        </w:rPr>
        <w:t>13%</w:t>
      </w:r>
      <w:r>
        <w:rPr>
          <w:rFonts w:hint="eastAsia" w:ascii="Times New Roman" w:hAnsi="Times New Roman" w:eastAsia="仿宋" w:cs="Times New Roman"/>
          <w:kern w:val="0"/>
          <w:sz w:val="28"/>
          <w:szCs w:val="28"/>
          <w:highlight w:val="none"/>
        </w:rPr>
        <w:t>进行折算货币补偿。</w:t>
      </w:r>
    </w:p>
    <w:p w14:paraId="120621F5">
      <w:pPr>
        <w:keepLines w:val="0"/>
        <w:pageBreakBefore w:val="0"/>
        <w:widowControl w:val="0"/>
        <w:numPr>
          <w:ilvl w:val="0"/>
          <w:numId w:val="0"/>
        </w:numPr>
        <w:kinsoku/>
        <w:wordWrap/>
        <w:overflowPunct/>
        <w:topLinePunct w:val="0"/>
        <w:autoSpaceDE w:val="0"/>
        <w:autoSpaceDN w:val="0"/>
        <w:bidi w:val="0"/>
        <w:adjustRightInd w:val="0"/>
        <w:snapToGrid w:val="0"/>
        <w:spacing w:beforeAutospacing="0" w:afterAutospacing="0" w:line="360" w:lineRule="auto"/>
        <w:ind w:firstLine="560" w:firstLineChars="200"/>
        <w:jc w:val="both"/>
        <w:textAlignment w:val="auto"/>
        <w:rPr>
          <w:rFonts w:hint="eastAsia" w:ascii="Times New Roman" w:hAnsi="Times New Roman" w:eastAsia="仿宋" w:cs="Times New Roman"/>
          <w:kern w:val="0"/>
          <w:sz w:val="28"/>
          <w:szCs w:val="28"/>
          <w:highlight w:val="none"/>
          <w:lang w:val="en-US" w:eastAsia="zh-CN"/>
        </w:rPr>
      </w:pPr>
      <w:r>
        <w:rPr>
          <w:rFonts w:hint="eastAsia" w:ascii="Times New Roman" w:hAnsi="Times New Roman" w:eastAsia="仿宋" w:cs="Times New Roman"/>
          <w:kern w:val="0"/>
          <w:sz w:val="28"/>
          <w:szCs w:val="28"/>
          <w:highlight w:val="none"/>
          <w:lang w:val="en-US" w:eastAsia="zh-CN"/>
        </w:rPr>
        <w:t>（二）</w:t>
      </w:r>
      <w:r>
        <w:rPr>
          <w:rFonts w:hint="default" w:ascii="Times New Roman" w:hAnsi="Times New Roman" w:eastAsia="仿宋" w:cs="Times New Roman"/>
          <w:kern w:val="0"/>
          <w:sz w:val="28"/>
          <w:szCs w:val="28"/>
          <w:highlight w:val="none"/>
          <w:lang w:val="en-US" w:eastAsia="zh-CN"/>
        </w:rPr>
        <w:t>2026年11月</w:t>
      </w:r>
      <w:r>
        <w:rPr>
          <w:rFonts w:hint="eastAsia" w:ascii="Times New Roman" w:hAnsi="Times New Roman" w:eastAsia="仿宋" w:cs="Times New Roman"/>
          <w:kern w:val="0"/>
          <w:sz w:val="28"/>
          <w:szCs w:val="28"/>
          <w:highlight w:val="none"/>
          <w:lang w:val="en-US" w:eastAsia="zh-CN"/>
        </w:rPr>
        <w:t>12日</w:t>
      </w:r>
      <w:r>
        <w:rPr>
          <w:rFonts w:hint="default" w:ascii="Times New Roman" w:hAnsi="Times New Roman" w:eastAsia="仿宋" w:cs="Times New Roman"/>
          <w:kern w:val="0"/>
          <w:sz w:val="28"/>
          <w:szCs w:val="28"/>
          <w:highlight w:val="none"/>
          <w:lang w:val="en-US" w:eastAsia="zh-CN"/>
        </w:rPr>
        <w:t>后新增常规征地项目</w:t>
      </w:r>
      <w:r>
        <w:rPr>
          <w:rFonts w:hint="eastAsia" w:ascii="Times New Roman" w:hAnsi="Times New Roman" w:eastAsia="仿宋" w:cs="Times New Roman"/>
          <w:kern w:val="0"/>
          <w:sz w:val="28"/>
          <w:szCs w:val="28"/>
          <w:highlight w:val="none"/>
          <w:lang w:val="en-US" w:eastAsia="zh-CN"/>
        </w:rPr>
        <w:t>，原则上采取非实地留用的方式安置。</w:t>
      </w:r>
    </w:p>
    <w:p w14:paraId="011B86E9">
      <w:pPr>
        <w:keepLines w:val="0"/>
        <w:pageBreakBefore w:val="0"/>
        <w:widowControl w:val="0"/>
        <w:numPr>
          <w:ilvl w:val="0"/>
          <w:numId w:val="0"/>
        </w:numPr>
        <w:kinsoku/>
        <w:wordWrap/>
        <w:overflowPunct/>
        <w:topLinePunct w:val="0"/>
        <w:autoSpaceDE w:val="0"/>
        <w:autoSpaceDN w:val="0"/>
        <w:bidi w:val="0"/>
        <w:adjustRightInd w:val="0"/>
        <w:snapToGrid w:val="0"/>
        <w:spacing w:beforeAutospacing="0" w:afterAutospacing="0" w:line="360" w:lineRule="auto"/>
        <w:ind w:firstLine="560" w:firstLineChars="200"/>
        <w:jc w:val="both"/>
        <w:textAlignment w:val="auto"/>
        <w:rPr>
          <w:rFonts w:hint="eastAsia"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lang w:val="en-US" w:eastAsia="zh-CN"/>
        </w:rPr>
        <w:t>1.</w:t>
      </w:r>
      <w:r>
        <w:rPr>
          <w:rFonts w:hint="default" w:ascii="Times New Roman" w:hAnsi="Times New Roman" w:eastAsia="仿宋" w:cs="Times New Roman"/>
          <w:kern w:val="0"/>
          <w:sz w:val="28"/>
          <w:szCs w:val="28"/>
          <w:highlight w:val="none"/>
          <w:lang w:val="en-US" w:eastAsia="zh-CN"/>
        </w:rPr>
        <w:t>采取实地留用方式安置的，</w:t>
      </w:r>
      <w:r>
        <w:rPr>
          <w:rFonts w:hint="eastAsia" w:ascii="Times New Roman" w:hAnsi="Times New Roman" w:eastAsia="仿宋" w:cs="Times New Roman"/>
          <w:kern w:val="0"/>
          <w:sz w:val="28"/>
          <w:szCs w:val="28"/>
          <w:highlight w:val="none"/>
        </w:rPr>
        <w:t>以村民小组为单位，被征收农村集体经济组织的留用地，按征收各地类总面积的</w:t>
      </w:r>
      <w:r>
        <w:rPr>
          <w:rFonts w:ascii="Times New Roman" w:hAnsi="Times New Roman" w:eastAsia="仿宋" w:cs="Times New Roman"/>
          <w:kern w:val="0"/>
          <w:sz w:val="28"/>
          <w:szCs w:val="28"/>
          <w:highlight w:val="none"/>
        </w:rPr>
        <w:t>10%</w:t>
      </w:r>
      <w:r>
        <w:rPr>
          <w:rFonts w:hint="eastAsia" w:ascii="Times New Roman" w:hAnsi="Times New Roman" w:eastAsia="仿宋" w:cs="Times New Roman"/>
          <w:kern w:val="0"/>
          <w:sz w:val="28"/>
          <w:szCs w:val="28"/>
          <w:highlight w:val="none"/>
        </w:rPr>
        <w:t>安排；</w:t>
      </w:r>
      <w:r>
        <w:rPr>
          <w:rFonts w:hint="eastAsia" w:ascii="Times New Roman" w:hAnsi="Times New Roman" w:eastAsia="仿宋" w:cs="Times New Roman"/>
          <w:kern w:val="0"/>
          <w:sz w:val="28"/>
          <w:szCs w:val="28"/>
          <w:highlight w:val="none"/>
          <w:lang w:val="en-US" w:eastAsia="zh-CN"/>
        </w:rPr>
        <w:t>根据《意见》要求，应当</w:t>
      </w:r>
      <w:r>
        <w:rPr>
          <w:rFonts w:hint="default" w:ascii="Times New Roman" w:hAnsi="Times New Roman" w:eastAsia="仿宋" w:cs="Times New Roman"/>
          <w:kern w:val="0"/>
          <w:sz w:val="28"/>
          <w:szCs w:val="28"/>
          <w:highlight w:val="none"/>
          <w:lang w:val="en-US" w:eastAsia="zh-CN"/>
        </w:rPr>
        <w:t>优先兑现落实开发方向明确、项目成熟度高、综合效益好的项目</w:t>
      </w:r>
      <w:r>
        <w:rPr>
          <w:rFonts w:hint="eastAsia" w:ascii="Times New Roman" w:hAnsi="Times New Roman" w:eastAsia="仿宋" w:cs="Times New Roman"/>
          <w:kern w:val="0"/>
          <w:sz w:val="28"/>
          <w:szCs w:val="28"/>
          <w:highlight w:val="none"/>
          <w:lang w:val="en-US" w:eastAsia="zh-CN"/>
        </w:rPr>
        <w:t>；应当</w:t>
      </w:r>
      <w:r>
        <w:rPr>
          <w:rFonts w:hint="default" w:ascii="Times New Roman" w:hAnsi="Times New Roman" w:eastAsia="仿宋" w:cs="Times New Roman"/>
          <w:kern w:val="0"/>
          <w:sz w:val="28"/>
          <w:szCs w:val="28"/>
          <w:highlight w:val="none"/>
          <w:lang w:val="en-US" w:eastAsia="zh-CN"/>
        </w:rPr>
        <w:t>同步审查留用地开发利用方案，确定留用地兑现和开发利用相关要求</w:t>
      </w:r>
      <w:r>
        <w:rPr>
          <w:rFonts w:hint="eastAsia" w:ascii="Times New Roman" w:hAnsi="Times New Roman" w:eastAsia="仿宋" w:cs="Times New Roman"/>
          <w:kern w:val="0"/>
          <w:sz w:val="28"/>
          <w:szCs w:val="28"/>
          <w:highlight w:val="none"/>
          <w:lang w:val="en-US" w:eastAsia="zh-CN"/>
        </w:rPr>
        <w:t>；</w:t>
      </w:r>
      <w:r>
        <w:rPr>
          <w:rFonts w:hint="default" w:ascii="Times New Roman" w:hAnsi="Times New Roman" w:eastAsia="仿宋" w:cs="Times New Roman"/>
          <w:kern w:val="0"/>
          <w:sz w:val="28"/>
          <w:szCs w:val="28"/>
          <w:highlight w:val="none"/>
          <w:lang w:val="en-US" w:eastAsia="zh-CN"/>
        </w:rPr>
        <w:t>并应当按照规定或约定时限进行开发建设</w:t>
      </w:r>
      <w:r>
        <w:rPr>
          <w:rFonts w:hint="eastAsia" w:ascii="Times New Roman" w:hAnsi="Times New Roman" w:eastAsia="仿宋" w:cs="Times New Roman"/>
          <w:kern w:val="0"/>
          <w:sz w:val="28"/>
          <w:szCs w:val="28"/>
          <w:highlight w:val="none"/>
          <w:lang w:val="en-US" w:eastAsia="zh-CN"/>
        </w:rPr>
        <w:t>。</w:t>
      </w:r>
      <w:r>
        <w:rPr>
          <w:rFonts w:hint="eastAsia" w:ascii="Times New Roman" w:hAnsi="Times New Roman" w:eastAsia="仿宋" w:cs="Times New Roman"/>
          <w:kern w:val="0"/>
          <w:sz w:val="28"/>
          <w:szCs w:val="28"/>
          <w:highlight w:val="none"/>
        </w:rPr>
        <w:t>留用地不得私自转让，如需转让必须依法办理相关手续。</w:t>
      </w:r>
    </w:p>
    <w:p w14:paraId="22D04849">
      <w:pPr>
        <w:keepLines w:val="0"/>
        <w:pageBreakBefore w:val="0"/>
        <w:widowControl w:val="0"/>
        <w:numPr>
          <w:ilvl w:val="0"/>
          <w:numId w:val="0"/>
        </w:numPr>
        <w:kinsoku/>
        <w:wordWrap/>
        <w:overflowPunct/>
        <w:topLinePunct w:val="0"/>
        <w:autoSpaceDE w:val="0"/>
        <w:autoSpaceDN w:val="0"/>
        <w:bidi w:val="0"/>
        <w:adjustRightInd w:val="0"/>
        <w:snapToGrid w:val="0"/>
        <w:spacing w:beforeAutospacing="0" w:afterAutospacing="0" w:line="360" w:lineRule="auto"/>
        <w:ind w:firstLine="560" w:firstLineChars="200"/>
        <w:jc w:val="both"/>
        <w:textAlignment w:val="auto"/>
        <w:rPr>
          <w:rFonts w:hint="eastAsia"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lang w:val="en-US" w:eastAsia="zh-CN"/>
        </w:rPr>
        <w:t>2.被征地农村集体经济组织自愿放弃实地留用地的、留用地选址方案不符合国土空间规划的，或因国家和省重大线性工程项目征收土地的，应当采取非实地留用方式安置；非实地留用方式包括折算货币、置换物业、作价出资（入股）等；非实地留用安置标准不得低于签订非实地留用安置协议或征地补偿安置协议时被征收土地所在地的工业用地级别基准地价。</w:t>
      </w:r>
    </w:p>
    <w:p w14:paraId="15CF5B55">
      <w:pPr>
        <w:keepNext/>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firstLine="0" w:firstLineChars="0"/>
        <w:jc w:val="both"/>
        <w:textAlignment w:val="auto"/>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en-US" w:eastAsia="zh-CN"/>
        </w:rPr>
        <w:t>二、补偿标准</w:t>
      </w:r>
    </w:p>
    <w:p w14:paraId="47F6A4A7">
      <w:pPr>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firstLine="560" w:firstLineChars="200"/>
        <w:jc w:val="both"/>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lang w:val="en-US" w:eastAsia="zh-CN"/>
        </w:rPr>
        <w:t>（一）</w:t>
      </w:r>
      <w:r>
        <w:rPr>
          <w:rFonts w:hint="eastAsia" w:ascii="Times New Roman" w:hAnsi="Times New Roman" w:eastAsia="仿宋" w:cs="Times New Roman"/>
          <w:kern w:val="0"/>
          <w:sz w:val="28"/>
          <w:szCs w:val="28"/>
          <w:highlight w:val="none"/>
        </w:rPr>
        <w:t>留用地折算货币补偿标准根据</w:t>
      </w:r>
      <w:r>
        <w:rPr>
          <w:rFonts w:hint="eastAsia" w:ascii="Times New Roman" w:hAnsi="Times New Roman" w:eastAsia="仿宋" w:cs="Times New Roman"/>
          <w:kern w:val="0"/>
          <w:sz w:val="28"/>
          <w:szCs w:val="28"/>
          <w:highlight w:val="none"/>
          <w:lang w:eastAsia="zh-CN"/>
        </w:rPr>
        <w:t>《广东省人民政府办公厅关于加强征收农村集体土地留用地安置管理工作的意见》</w:t>
      </w:r>
      <w:r>
        <w:rPr>
          <w:rFonts w:hint="eastAsia" w:ascii="Times New Roman" w:hAnsi="Times New Roman" w:eastAsia="仿宋" w:cs="Times New Roman"/>
          <w:kern w:val="0"/>
          <w:sz w:val="28"/>
          <w:szCs w:val="28"/>
          <w:highlight w:val="none"/>
        </w:rPr>
        <w:t>（粤府办〔2016〕30号）的规定确定补偿标准。留用地折算货币补偿的区片对应我县征收农用地区片综合地价确定的三个区片确定补偿标准，三个区片分别如下：</w:t>
      </w:r>
    </w:p>
    <w:tbl>
      <w:tblPr>
        <w:tblStyle w:val="6"/>
        <w:tblW w:w="91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19"/>
        <w:gridCol w:w="2850"/>
        <w:gridCol w:w="4137"/>
      </w:tblGrid>
      <w:tr w14:paraId="49735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119" w:type="dxa"/>
            <w:tcBorders>
              <w:top w:val="single" w:color="000000" w:sz="4" w:space="0"/>
              <w:left w:val="single" w:color="000000" w:sz="4" w:space="0"/>
              <w:bottom w:val="single" w:color="000000" w:sz="4" w:space="0"/>
              <w:right w:val="single" w:color="000000" w:sz="4" w:space="0"/>
            </w:tcBorders>
            <w:vAlign w:val="center"/>
          </w:tcPr>
          <w:p w14:paraId="21DDD55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b/>
                <w:bCs/>
                <w:kern w:val="0"/>
                <w:sz w:val="28"/>
                <w:szCs w:val="28"/>
                <w:highlight w:val="none"/>
              </w:rPr>
            </w:pPr>
            <w:r>
              <w:rPr>
                <w:rFonts w:hint="eastAsia" w:ascii="Times New Roman" w:hAnsi="Times New Roman" w:eastAsia="仿宋" w:cs="Times New Roman"/>
                <w:b/>
                <w:bCs/>
                <w:kern w:val="0"/>
                <w:sz w:val="28"/>
                <w:szCs w:val="28"/>
                <w:highlight w:val="none"/>
              </w:rPr>
              <w:t>一区</w:t>
            </w:r>
          </w:p>
        </w:tc>
        <w:tc>
          <w:tcPr>
            <w:tcW w:w="2850" w:type="dxa"/>
            <w:tcBorders>
              <w:top w:val="single" w:color="000000" w:sz="4" w:space="0"/>
              <w:left w:val="single" w:color="000000" w:sz="4" w:space="0"/>
              <w:bottom w:val="single" w:color="000000" w:sz="4" w:space="0"/>
              <w:right w:val="single" w:color="000000" w:sz="4" w:space="0"/>
            </w:tcBorders>
            <w:vAlign w:val="center"/>
          </w:tcPr>
          <w:p w14:paraId="1F3C179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b/>
                <w:bCs/>
                <w:kern w:val="0"/>
                <w:sz w:val="28"/>
                <w:szCs w:val="28"/>
                <w:highlight w:val="none"/>
              </w:rPr>
            </w:pPr>
            <w:r>
              <w:rPr>
                <w:rFonts w:hint="eastAsia" w:ascii="Times New Roman" w:hAnsi="Times New Roman" w:eastAsia="仿宋" w:cs="Times New Roman"/>
                <w:b/>
                <w:bCs/>
                <w:kern w:val="0"/>
                <w:sz w:val="28"/>
                <w:szCs w:val="28"/>
                <w:highlight w:val="none"/>
              </w:rPr>
              <w:t>二区</w:t>
            </w:r>
          </w:p>
        </w:tc>
        <w:tc>
          <w:tcPr>
            <w:tcW w:w="4137" w:type="dxa"/>
            <w:tcBorders>
              <w:top w:val="single" w:color="000000" w:sz="4" w:space="0"/>
              <w:left w:val="single" w:color="000000" w:sz="4" w:space="0"/>
              <w:bottom w:val="single" w:color="000000" w:sz="4" w:space="0"/>
              <w:right w:val="single" w:color="000000" w:sz="4" w:space="0"/>
            </w:tcBorders>
            <w:vAlign w:val="center"/>
          </w:tcPr>
          <w:p w14:paraId="1087B3A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b/>
                <w:bCs/>
                <w:kern w:val="0"/>
                <w:sz w:val="28"/>
                <w:szCs w:val="28"/>
                <w:highlight w:val="none"/>
              </w:rPr>
            </w:pPr>
            <w:r>
              <w:rPr>
                <w:rFonts w:hint="eastAsia" w:ascii="Times New Roman" w:hAnsi="Times New Roman" w:eastAsia="仿宋" w:cs="Times New Roman"/>
                <w:b/>
                <w:bCs/>
                <w:kern w:val="0"/>
                <w:sz w:val="28"/>
                <w:szCs w:val="28"/>
                <w:highlight w:val="none"/>
              </w:rPr>
              <w:t>三区</w:t>
            </w:r>
          </w:p>
        </w:tc>
      </w:tr>
      <w:tr w14:paraId="2794B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19" w:type="dxa"/>
            <w:tcBorders>
              <w:top w:val="single" w:color="000000" w:sz="4" w:space="0"/>
              <w:left w:val="single" w:color="000000" w:sz="4" w:space="0"/>
              <w:bottom w:val="single" w:color="000000" w:sz="4" w:space="0"/>
              <w:right w:val="single" w:color="000000" w:sz="4" w:space="0"/>
            </w:tcBorders>
            <w:vAlign w:val="center"/>
          </w:tcPr>
          <w:p w14:paraId="110F1F7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汤坑镇、汤南镇、汤西镇</w:t>
            </w:r>
          </w:p>
        </w:tc>
        <w:tc>
          <w:tcPr>
            <w:tcW w:w="2850" w:type="dxa"/>
            <w:tcBorders>
              <w:top w:val="single" w:color="000000" w:sz="4" w:space="0"/>
              <w:left w:val="single" w:color="000000" w:sz="4" w:space="0"/>
              <w:bottom w:val="single" w:color="000000" w:sz="4" w:space="0"/>
              <w:right w:val="single" w:color="000000" w:sz="4" w:space="0"/>
            </w:tcBorders>
            <w:vAlign w:val="center"/>
          </w:tcPr>
          <w:p w14:paraId="14940E7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丰良镇、留隍镇、埔寨镇、埔寨农场、汤坑镇大坝林场</w:t>
            </w:r>
          </w:p>
        </w:tc>
        <w:tc>
          <w:tcPr>
            <w:tcW w:w="4137" w:type="dxa"/>
            <w:tcBorders>
              <w:top w:val="single" w:color="000000" w:sz="4" w:space="0"/>
              <w:left w:val="single" w:color="000000" w:sz="4" w:space="0"/>
              <w:bottom w:val="single" w:color="000000" w:sz="4" w:space="0"/>
              <w:right w:val="single" w:color="000000" w:sz="4" w:space="0"/>
            </w:tcBorders>
            <w:vAlign w:val="center"/>
          </w:tcPr>
          <w:p w14:paraId="5755DD2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潭江镇、北斗镇、黄金镇、潘田镇、建桥镇、龙岗镇、大龙华镇、砂田镇、八乡山镇、小胜镇</w:t>
            </w:r>
          </w:p>
        </w:tc>
      </w:tr>
      <w:tr w14:paraId="40ACF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119" w:type="dxa"/>
            <w:tcBorders>
              <w:top w:val="single" w:color="000000" w:sz="4" w:space="0"/>
              <w:left w:val="single" w:color="000000" w:sz="4" w:space="0"/>
              <w:bottom w:val="single" w:color="000000" w:sz="4" w:space="0"/>
              <w:right w:val="single" w:color="000000" w:sz="4" w:space="0"/>
            </w:tcBorders>
            <w:vAlign w:val="center"/>
          </w:tcPr>
          <w:p w14:paraId="1AEE624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38.4615万元</w:t>
            </w:r>
            <w:r>
              <w:rPr>
                <w:rFonts w:ascii="Times New Roman" w:hAnsi="Times New Roman" w:eastAsia="仿宋" w:cs="Times New Roman"/>
                <w:kern w:val="0"/>
                <w:sz w:val="28"/>
                <w:szCs w:val="28"/>
                <w:highlight w:val="none"/>
              </w:rPr>
              <w:t>/</w:t>
            </w:r>
            <w:r>
              <w:rPr>
                <w:rFonts w:hint="eastAsia" w:ascii="Times New Roman" w:hAnsi="Times New Roman" w:eastAsia="仿宋" w:cs="Times New Roman"/>
                <w:kern w:val="0"/>
                <w:sz w:val="28"/>
                <w:szCs w:val="28"/>
                <w:highlight w:val="none"/>
              </w:rPr>
              <w:t>亩</w:t>
            </w:r>
          </w:p>
        </w:tc>
        <w:tc>
          <w:tcPr>
            <w:tcW w:w="2850" w:type="dxa"/>
            <w:tcBorders>
              <w:top w:val="single" w:color="000000" w:sz="4" w:space="0"/>
              <w:left w:val="single" w:color="000000" w:sz="4" w:space="0"/>
              <w:bottom w:val="single" w:color="000000" w:sz="4" w:space="0"/>
              <w:right w:val="single" w:color="000000" w:sz="4" w:space="0"/>
            </w:tcBorders>
            <w:vAlign w:val="center"/>
          </w:tcPr>
          <w:p w14:paraId="6B857A0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30.7692万元</w:t>
            </w:r>
            <w:r>
              <w:rPr>
                <w:rFonts w:ascii="Times New Roman" w:hAnsi="Times New Roman" w:eastAsia="仿宋" w:cs="Times New Roman"/>
                <w:kern w:val="0"/>
                <w:sz w:val="28"/>
                <w:szCs w:val="28"/>
                <w:highlight w:val="none"/>
              </w:rPr>
              <w:t>/</w:t>
            </w:r>
            <w:r>
              <w:rPr>
                <w:rFonts w:hint="eastAsia" w:ascii="Times New Roman" w:hAnsi="Times New Roman" w:eastAsia="仿宋" w:cs="Times New Roman"/>
                <w:kern w:val="0"/>
                <w:sz w:val="28"/>
                <w:szCs w:val="28"/>
                <w:highlight w:val="none"/>
              </w:rPr>
              <w:t>亩</w:t>
            </w:r>
          </w:p>
        </w:tc>
        <w:tc>
          <w:tcPr>
            <w:tcW w:w="4137" w:type="dxa"/>
            <w:tcBorders>
              <w:top w:val="single" w:color="000000" w:sz="4" w:space="0"/>
              <w:left w:val="single" w:color="000000" w:sz="4" w:space="0"/>
              <w:bottom w:val="single" w:color="000000" w:sz="4" w:space="0"/>
              <w:right w:val="single" w:color="000000" w:sz="4" w:space="0"/>
            </w:tcBorders>
            <w:vAlign w:val="center"/>
          </w:tcPr>
          <w:p w14:paraId="7E3CC63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仿宋" w:cs="Times New Roman"/>
                <w:kern w:val="0"/>
                <w:sz w:val="28"/>
                <w:szCs w:val="28"/>
                <w:highlight w:val="none"/>
              </w:rPr>
            </w:pPr>
            <w:r>
              <w:rPr>
                <w:rFonts w:hint="eastAsia" w:ascii="Times New Roman" w:hAnsi="Times New Roman" w:eastAsia="仿宋" w:cs="Times New Roman"/>
                <w:kern w:val="0"/>
                <w:sz w:val="28"/>
                <w:szCs w:val="28"/>
                <w:highlight w:val="none"/>
              </w:rPr>
              <w:t>26.9231万元</w:t>
            </w:r>
            <w:r>
              <w:rPr>
                <w:rFonts w:ascii="Times New Roman" w:hAnsi="Times New Roman" w:eastAsia="仿宋" w:cs="Times New Roman"/>
                <w:kern w:val="0"/>
                <w:sz w:val="28"/>
                <w:szCs w:val="28"/>
                <w:highlight w:val="none"/>
              </w:rPr>
              <w:t>/</w:t>
            </w:r>
            <w:r>
              <w:rPr>
                <w:rFonts w:hint="eastAsia" w:ascii="Times New Roman" w:hAnsi="Times New Roman" w:eastAsia="仿宋" w:cs="Times New Roman"/>
                <w:kern w:val="0"/>
                <w:sz w:val="28"/>
                <w:szCs w:val="28"/>
                <w:highlight w:val="none"/>
              </w:rPr>
              <w:t>亩</w:t>
            </w:r>
          </w:p>
        </w:tc>
      </w:tr>
    </w:tbl>
    <w:p w14:paraId="4AE082FF">
      <w:pPr>
        <w:keepNext w:val="0"/>
        <w:keepLines w:val="0"/>
        <w:pageBreakBefore w:val="0"/>
        <w:widowControl w:val="0"/>
        <w:kinsoku/>
        <w:wordWrap/>
        <w:overflowPunct/>
        <w:topLinePunct w:val="0"/>
        <w:autoSpaceDE w:val="0"/>
        <w:autoSpaceDN w:val="0"/>
        <w:bidi w:val="0"/>
        <w:adjustRightInd w:val="0"/>
        <w:snapToGrid w:val="0"/>
        <w:spacing w:line="360" w:lineRule="auto"/>
        <w:ind w:firstLine="560" w:firstLineChars="200"/>
        <w:textAlignment w:val="auto"/>
        <w:rPr>
          <w:rFonts w:hint="eastAsia"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为方便各乡镇开展征收土地计算留用地折算货币补偿款，现将留用地补偿折算到每征收一亩土地的补偿标准如下：一区：50000元/亩、二区：40000元/亩、三区：35000元/亩。</w:t>
      </w:r>
    </w:p>
    <w:p w14:paraId="20D31D0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560" w:firstLineChars="200"/>
        <w:textAlignment w:val="auto"/>
        <w:rPr>
          <w:rFonts w:hint="eastAsia"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（二）留用地以置换物业、作价出资（入股）等方式安置的，根据征收项目具体情况另行制定。</w:t>
      </w:r>
    </w:p>
    <w:p w14:paraId="77A6D08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2" w:firstLineChars="200"/>
        <w:textAlignment w:val="auto"/>
        <w:rPr>
          <w:rFonts w:hint="eastAsia" w:ascii="Times New Roman" w:hAnsi="Times New Roman" w:eastAsia="仿宋" w:cs="Times New Roman"/>
          <w:kern w:val="0"/>
          <w:sz w:val="28"/>
          <w:szCs w:val="28"/>
          <w:highlight w:val="none"/>
        </w:rPr>
      </w:pPr>
      <w:bookmarkStart w:id="0" w:name="_GoBack"/>
      <w:bookmarkEnd w:id="0"/>
      <w:r>
        <w:rPr>
          <w:rFonts w:hint="eastAsia" w:ascii="Times New Roman" w:hAnsi="Times New Roman" w:eastAsia="仿宋" w:cs="Times New Roman"/>
          <w:kern w:val="0"/>
          <w:sz w:val="28"/>
          <w:szCs w:val="28"/>
          <w:highlight w:val="none"/>
        </w:rPr>
        <w:t>请各单位认真贯彻执行，严格按照标准实施土地房屋征收工作。</w:t>
      </w:r>
    </w:p>
    <w:sectPr>
      <w:footerReference r:id="rId3" w:type="default"/>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6708A380-3659-49CF-BF9E-5D4862252511}"/>
  </w:font>
  <w:font w:name="方正小标宋简体">
    <w:panose1 w:val="02000000000000000000"/>
    <w:charset w:val="86"/>
    <w:family w:val="auto"/>
    <w:pitch w:val="default"/>
    <w:sig w:usb0="A00002BF" w:usb1="184F6CFA" w:usb2="00000012" w:usb3="00000000" w:csb0="00040001" w:csb1="00000000"/>
    <w:embedRegular r:id="rId2" w:fontKey="{3D5CC6D3-A59D-470D-AA92-02AA50B402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677363"/>
      <w:docPartObj>
        <w:docPartGallery w:val="autotext"/>
      </w:docPartObj>
    </w:sdtPr>
    <w:sdtEndPr>
      <w:rPr>
        <w:rFonts w:hint="default" w:ascii="Times New Roman" w:hAnsi="Times New Roman" w:cs="Times New Roman"/>
        <w:sz w:val="20"/>
        <w:szCs w:val="20"/>
      </w:rPr>
    </w:sdtEndPr>
    <w:sdtContent>
      <w:p w14:paraId="415763D5">
        <w:pPr>
          <w:pStyle w:val="3"/>
          <w:jc w:val="center"/>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   \* MERGEFORMAT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zh-CN"/>
          </w:rPr>
          <w:t>4</w:t>
        </w:r>
        <w:r>
          <w:rPr>
            <w:rFonts w:hint="default" w:ascii="Times New Roman" w:hAnsi="Times New Roman" w:cs="Times New Roman"/>
            <w:sz w:val="20"/>
            <w:szCs w:val="20"/>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OWU4OWJjYWYzZDZlNmVkZWYxNzg4NTcxYzU0YmEifQ=="/>
  </w:docVars>
  <w:rsids>
    <w:rsidRoot w:val="00CE5F18"/>
    <w:rsid w:val="00087E6E"/>
    <w:rsid w:val="00091132"/>
    <w:rsid w:val="000A3925"/>
    <w:rsid w:val="000D1339"/>
    <w:rsid w:val="000D2F0D"/>
    <w:rsid w:val="000D7401"/>
    <w:rsid w:val="00107A5A"/>
    <w:rsid w:val="00110794"/>
    <w:rsid w:val="00161DB2"/>
    <w:rsid w:val="001C33BA"/>
    <w:rsid w:val="00230E20"/>
    <w:rsid w:val="00232B03"/>
    <w:rsid w:val="0028759C"/>
    <w:rsid w:val="002C7311"/>
    <w:rsid w:val="003040D5"/>
    <w:rsid w:val="00323A57"/>
    <w:rsid w:val="00340591"/>
    <w:rsid w:val="0035569C"/>
    <w:rsid w:val="003B6CF3"/>
    <w:rsid w:val="003E6F18"/>
    <w:rsid w:val="003F4F55"/>
    <w:rsid w:val="00406F0D"/>
    <w:rsid w:val="00443755"/>
    <w:rsid w:val="00472A27"/>
    <w:rsid w:val="00520D65"/>
    <w:rsid w:val="00536D87"/>
    <w:rsid w:val="0055396C"/>
    <w:rsid w:val="0061681E"/>
    <w:rsid w:val="006E67A8"/>
    <w:rsid w:val="00764B20"/>
    <w:rsid w:val="007A15A5"/>
    <w:rsid w:val="007F2D48"/>
    <w:rsid w:val="00803ED6"/>
    <w:rsid w:val="00857238"/>
    <w:rsid w:val="00857488"/>
    <w:rsid w:val="00886A6B"/>
    <w:rsid w:val="008A095B"/>
    <w:rsid w:val="008B4718"/>
    <w:rsid w:val="009110AC"/>
    <w:rsid w:val="009B1BFD"/>
    <w:rsid w:val="009B39AB"/>
    <w:rsid w:val="00A029F0"/>
    <w:rsid w:val="00A84B92"/>
    <w:rsid w:val="00AA552D"/>
    <w:rsid w:val="00AD2234"/>
    <w:rsid w:val="00B007F8"/>
    <w:rsid w:val="00B308AC"/>
    <w:rsid w:val="00B7288E"/>
    <w:rsid w:val="00BA29D9"/>
    <w:rsid w:val="00C23399"/>
    <w:rsid w:val="00C633FF"/>
    <w:rsid w:val="00CE5F18"/>
    <w:rsid w:val="00D5500F"/>
    <w:rsid w:val="00D845A7"/>
    <w:rsid w:val="00D864A5"/>
    <w:rsid w:val="00DA07BB"/>
    <w:rsid w:val="00DA390C"/>
    <w:rsid w:val="00DC1882"/>
    <w:rsid w:val="00DD3616"/>
    <w:rsid w:val="00DE2254"/>
    <w:rsid w:val="00E14D45"/>
    <w:rsid w:val="00E372DB"/>
    <w:rsid w:val="00E42632"/>
    <w:rsid w:val="00E53CE0"/>
    <w:rsid w:val="00E76798"/>
    <w:rsid w:val="00F82FEE"/>
    <w:rsid w:val="00F915D7"/>
    <w:rsid w:val="00FC7A6B"/>
    <w:rsid w:val="023729A8"/>
    <w:rsid w:val="030168AF"/>
    <w:rsid w:val="0C2F779B"/>
    <w:rsid w:val="0D821591"/>
    <w:rsid w:val="1CBB14AC"/>
    <w:rsid w:val="1EB918BC"/>
    <w:rsid w:val="20F63F8C"/>
    <w:rsid w:val="24FC3F2A"/>
    <w:rsid w:val="26C72342"/>
    <w:rsid w:val="2F542AB4"/>
    <w:rsid w:val="30BF439A"/>
    <w:rsid w:val="30DA7426"/>
    <w:rsid w:val="31E16BB0"/>
    <w:rsid w:val="36ED4C29"/>
    <w:rsid w:val="37471C88"/>
    <w:rsid w:val="3A4A561C"/>
    <w:rsid w:val="3A8721A0"/>
    <w:rsid w:val="3A891042"/>
    <w:rsid w:val="3BB30C72"/>
    <w:rsid w:val="3E7347D0"/>
    <w:rsid w:val="4A5A78EB"/>
    <w:rsid w:val="4AB23A41"/>
    <w:rsid w:val="4B4E65EF"/>
    <w:rsid w:val="4D8F534E"/>
    <w:rsid w:val="583B7920"/>
    <w:rsid w:val="59396B30"/>
    <w:rsid w:val="5D0E3E30"/>
    <w:rsid w:val="5EDA046D"/>
    <w:rsid w:val="60D22668"/>
    <w:rsid w:val="611C29F1"/>
    <w:rsid w:val="652B0532"/>
    <w:rsid w:val="668F61EC"/>
    <w:rsid w:val="67113820"/>
    <w:rsid w:val="6B1522B1"/>
    <w:rsid w:val="6BCD19F8"/>
    <w:rsid w:val="6E7241C9"/>
    <w:rsid w:val="6F5C6C7D"/>
    <w:rsid w:val="6FD3327C"/>
    <w:rsid w:val="73836ECE"/>
    <w:rsid w:val="75FB611F"/>
    <w:rsid w:val="78A5215E"/>
    <w:rsid w:val="79524C6C"/>
    <w:rsid w:val="7AD324E9"/>
    <w:rsid w:val="7EB15665"/>
    <w:rsid w:val="7EE813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1432</Words>
  <Characters>1508</Characters>
  <Lines>10</Lines>
  <Paragraphs>3</Paragraphs>
  <TotalTime>18</TotalTime>
  <ScaleCrop>false</ScaleCrop>
  <LinksUpToDate>false</LinksUpToDate>
  <CharactersWithSpaces>1512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2023-11-17T07:54:00Z</dcterms:created>
  <dc:creator>微软用户</dc:creator>
  <cp:lastModifiedBy>阿嘞</cp:lastModifiedBy>
  <dcterms:modified xsi:type="dcterms:W3CDTF">2026-08-06T08:21:06Z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6A101F51EF374E5A81437CCE23707355_13</vt:lpwstr>
  </property>
  <property fmtid="{D5CDD505-2E9C-101B-9397-08002B2CF9AE}" pid="4" name="KSOTemplateDocerSaveRecord">
    <vt:lpwstr>eyJoZGlkIjoiZTMwZTcxNjJjZjA2MjYyZWNkNzRkNTIwMWEzYWZlODQiLCJ1c2VySWQiOiIyMDEyMzUwMTMifQ==</vt:lpwstr>
  </property>
</Properties>
</file>