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2D3E2">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丰顺县征收农用地区片综合地价、地上附着物和青苗补偿标准及集体留用地补偿标准更新项目</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成果</w:t>
      </w:r>
      <w:r>
        <w:rPr>
          <w:rFonts w:hint="eastAsia" w:ascii="方正小标宋简体" w:hAnsi="方正小标宋简体" w:eastAsia="方正小标宋简体" w:cs="方正小标宋简体"/>
          <w:sz w:val="44"/>
          <w:szCs w:val="44"/>
          <w:lang w:eastAsia="zh-CN"/>
        </w:rPr>
        <w:t>的</w:t>
      </w:r>
      <w:r>
        <w:rPr>
          <w:rFonts w:hint="eastAsia" w:ascii="方正小标宋简体" w:hAnsi="方正小标宋简体" w:eastAsia="方正小标宋简体" w:cs="方正小标宋简体"/>
          <w:sz w:val="44"/>
          <w:szCs w:val="44"/>
        </w:rPr>
        <w:t>起草说明</w:t>
      </w:r>
    </w:p>
    <w:p w14:paraId="1D12883F">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cs="方正小标宋简体"/>
          <w:sz w:val="44"/>
          <w:szCs w:val="44"/>
        </w:rPr>
      </w:pPr>
    </w:p>
    <w:p w14:paraId="7B7ADC1A">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ascii="Times New Roman" w:hAnsi="Times New Roman" w:eastAsia="仿宋" w:cs="Times New Roman"/>
          <w:sz w:val="28"/>
          <w:szCs w:val="28"/>
        </w:rPr>
      </w:pPr>
      <w:r>
        <w:rPr>
          <w:rFonts w:hint="eastAsia" w:ascii="Times New Roman" w:hAnsi="Times New Roman" w:eastAsia="仿宋" w:cs="Times New Roman"/>
          <w:sz w:val="28"/>
          <w:szCs w:val="28"/>
        </w:rPr>
        <w:t>根据</w:t>
      </w:r>
      <w:r>
        <w:rPr>
          <w:rFonts w:hint="eastAsia" w:ascii="Times New Roman" w:hAnsi="Times New Roman" w:eastAsia="仿宋" w:cs="Times New Roman"/>
          <w:sz w:val="28"/>
          <w:szCs w:val="28"/>
          <w:lang w:val="en-US" w:eastAsia="zh-CN"/>
        </w:rPr>
        <w:t>文件</w:t>
      </w:r>
      <w:r>
        <w:rPr>
          <w:rFonts w:hint="eastAsia" w:ascii="Times New Roman" w:hAnsi="Times New Roman" w:eastAsia="仿宋" w:cs="Times New Roman"/>
          <w:sz w:val="28"/>
          <w:szCs w:val="28"/>
        </w:rPr>
        <w:t>要求，现就《丰顺县征收农用地区片综合地价、地上附着物和青苗补偿标准及集体留用地补偿标准更新项目》成果的起草情况作如下说明：</w:t>
      </w:r>
    </w:p>
    <w:p w14:paraId="5EB75177">
      <w:pPr>
        <w:keepNext/>
        <w:keepLines w:val="0"/>
        <w:pageBreakBefore w:val="0"/>
        <w:widowControl w:val="0"/>
        <w:kinsoku/>
        <w:wordWrap/>
        <w:overflowPunct/>
        <w:topLinePunct w:val="0"/>
        <w:autoSpaceDE/>
        <w:autoSpaceDN/>
        <w:bidi w:val="0"/>
        <w:adjustRightInd w:val="0"/>
        <w:snapToGrid w:val="0"/>
        <w:spacing w:line="312" w:lineRule="auto"/>
        <w:ind w:firstLine="0" w:firstLineChars="0"/>
        <w:textAlignment w:val="auto"/>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一、起草背景</w:t>
      </w:r>
    </w:p>
    <w:p w14:paraId="26C8A7DD">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ascii="Times New Roman" w:hAnsi="Times New Roman" w:eastAsia="仿宋" w:cs="Times New Roman"/>
          <w:sz w:val="28"/>
          <w:szCs w:val="28"/>
        </w:rPr>
      </w:pPr>
      <w:r>
        <w:rPr>
          <w:rFonts w:hint="eastAsia" w:ascii="Times New Roman" w:hAnsi="Times New Roman" w:eastAsia="仿宋" w:cs="Times New Roman"/>
          <w:sz w:val="28"/>
          <w:szCs w:val="28"/>
        </w:rPr>
        <w:t>《中华人民共和国土地管理法》（2</w:t>
      </w:r>
      <w:bookmarkStart w:id="0" w:name="_GoBack"/>
      <w:bookmarkEnd w:id="0"/>
      <w:r>
        <w:rPr>
          <w:rFonts w:hint="eastAsia" w:ascii="Times New Roman" w:hAnsi="Times New Roman" w:eastAsia="仿宋" w:cs="Times New Roman"/>
          <w:sz w:val="28"/>
          <w:szCs w:val="28"/>
        </w:rPr>
        <w:t>019年修正）第四十八条规定</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征收农用地的土地补偿费、安置补助费标准由省、自治区、直辖市通过制定公布区片综合地价确定。并至少每三年调整或者重新公布一次”。丰顺县现行的征收农用地区片综合地价、地上附着物和青苗补偿标准及集体留用地补偿标准</w:t>
      </w:r>
      <w:r>
        <w:rPr>
          <w:rFonts w:hint="eastAsia" w:ascii="Times New Roman" w:hAnsi="Times New Roman" w:eastAsia="仿宋" w:cs="Times New Roman"/>
          <w:sz w:val="28"/>
          <w:szCs w:val="28"/>
          <w:lang w:val="en-US" w:eastAsia="zh-CN"/>
        </w:rPr>
        <w:t>分别依据</w:t>
      </w:r>
      <w:r>
        <w:rPr>
          <w:rFonts w:hint="eastAsia" w:ascii="Times New Roman" w:hAnsi="Times New Roman" w:eastAsia="仿宋" w:cs="Times New Roman"/>
          <w:sz w:val="28"/>
          <w:szCs w:val="28"/>
        </w:rPr>
        <w:t>《梅州市人民政府关于公布实施征收农用地区片综合地价的公告》（梅市府〔2024〕1号</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2024年2月5日印发</w:t>
      </w:r>
      <w:r>
        <w:rPr>
          <w:rFonts w:hint="eastAsia" w:ascii="Times New Roman" w:hAnsi="Times New Roman" w:eastAsia="仿宋" w:cs="Times New Roman"/>
          <w:sz w:val="28"/>
          <w:szCs w:val="28"/>
        </w:rPr>
        <w:t>）、《关于印发〈丰顺县征收地上附着物和青苗补偿办法〉的通知》（丰府〔2024〕28 号</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2024年3月22日发布</w:t>
      </w:r>
      <w:r>
        <w:rPr>
          <w:rFonts w:hint="eastAsia" w:ascii="Times New Roman" w:hAnsi="Times New Roman" w:eastAsia="仿宋" w:cs="Times New Roman"/>
          <w:sz w:val="28"/>
          <w:szCs w:val="28"/>
        </w:rPr>
        <w:t>）</w:t>
      </w:r>
      <w:r>
        <w:rPr>
          <w:rFonts w:hint="eastAsia" w:ascii="Times New Roman" w:hAnsi="Times New Roman" w:eastAsia="仿宋" w:cs="Times New Roman"/>
          <w:sz w:val="28"/>
          <w:szCs w:val="28"/>
          <w:lang w:val="en-US" w:eastAsia="zh-CN"/>
        </w:rPr>
        <w:t>及</w:t>
      </w:r>
      <w:r>
        <w:rPr>
          <w:rFonts w:hint="eastAsia" w:ascii="Times New Roman" w:hAnsi="Times New Roman" w:eastAsia="仿宋" w:cs="Times New Roman"/>
          <w:sz w:val="28"/>
          <w:szCs w:val="28"/>
        </w:rPr>
        <w:t>《关于印发〈丰顺县征收集体土地留用地补偿标准和奖励办法〉的通知》（丰府〔2024〕29 号</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2024年3月26日发布</w:t>
      </w:r>
      <w:r>
        <w:rPr>
          <w:rFonts w:hint="eastAsia" w:ascii="Times New Roman" w:hAnsi="Times New Roman" w:eastAsia="仿宋" w:cs="Times New Roman"/>
          <w:sz w:val="28"/>
          <w:szCs w:val="28"/>
        </w:rPr>
        <w:t>）</w:t>
      </w:r>
      <w:r>
        <w:rPr>
          <w:rFonts w:hint="eastAsia" w:ascii="Times New Roman" w:hAnsi="Times New Roman" w:eastAsia="仿宋" w:cs="Times New Roman"/>
          <w:sz w:val="28"/>
          <w:szCs w:val="28"/>
          <w:lang w:val="en-US" w:eastAsia="zh-CN"/>
        </w:rPr>
        <w:t>执行，</w:t>
      </w:r>
      <w:r>
        <w:rPr>
          <w:rFonts w:hint="eastAsia" w:ascii="Times New Roman" w:hAnsi="Times New Roman" w:eastAsia="仿宋" w:cs="Times New Roman"/>
          <w:sz w:val="28"/>
          <w:szCs w:val="28"/>
        </w:rPr>
        <w:t>即将届满三年调整周期。</w:t>
      </w:r>
    </w:p>
    <w:p w14:paraId="032B12C8">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ascii="Times New Roman" w:hAnsi="Times New Roman" w:eastAsia="仿宋" w:cs="Times New Roman"/>
          <w:color w:val="000000"/>
          <w:kern w:val="0"/>
          <w:sz w:val="28"/>
          <w:szCs w:val="28"/>
        </w:rPr>
      </w:pPr>
      <w:r>
        <w:rPr>
          <w:rFonts w:hint="eastAsia" w:ascii="Times New Roman" w:hAnsi="Times New Roman" w:eastAsia="仿宋" w:cs="Times New Roman"/>
          <w:sz w:val="28"/>
          <w:szCs w:val="28"/>
        </w:rPr>
        <w:t>根据《广东省土地管理条例》《广东省自然资源厅关于做好区片综合地价调整或重新公布工作的通知》（粤自然资函〔2026〕316号）、《广东省自然资源厅关于加快制定征收地上附着物和青苗补偿标准的通知》（粤自然资管制〔2022〕2889号）、《广东省人民政府办公厅关于进一步优化征收农村集体土地留用地管理促进留用地高效开发利用的意见》（粤府办〔2026〕6号）和《广东省人民政府办公厅关于加强征收农村集体土地留用地安置管理工作的意见》（粤府办〔2016〕30号）的要求，我县正在开展征收农用地区片综合地价、地上附着物和青苗补偿标准及集体留用地补偿标准更新工作</w:t>
      </w:r>
      <w:r>
        <w:rPr>
          <w:rFonts w:hint="eastAsia" w:ascii="Times New Roman" w:hAnsi="Times New Roman" w:eastAsia="仿宋" w:cs="Times New Roman"/>
          <w:color w:val="000000"/>
          <w:kern w:val="0"/>
          <w:sz w:val="28"/>
          <w:szCs w:val="28"/>
        </w:rPr>
        <w:t>。</w:t>
      </w:r>
    </w:p>
    <w:p w14:paraId="188C0D70">
      <w:pPr>
        <w:keepNext/>
        <w:keepLines w:val="0"/>
        <w:pageBreakBefore w:val="0"/>
        <w:widowControl w:val="0"/>
        <w:kinsoku/>
        <w:wordWrap/>
        <w:overflowPunct/>
        <w:topLinePunct w:val="0"/>
        <w:autoSpaceDE/>
        <w:autoSpaceDN/>
        <w:bidi w:val="0"/>
        <w:adjustRightInd w:val="0"/>
        <w:snapToGrid w:val="0"/>
        <w:spacing w:line="312" w:lineRule="auto"/>
        <w:ind w:firstLine="0" w:firstLineChars="0"/>
        <w:textAlignment w:val="auto"/>
        <w:rPr>
          <w:rFonts w:hint="eastAsia" w:ascii="Times New Roman" w:hAnsi="Times New Roman" w:eastAsia="仿宋" w:cs="Times New Roman"/>
          <w:b/>
          <w:bCs/>
          <w:sz w:val="28"/>
          <w:szCs w:val="28"/>
        </w:rPr>
      </w:pPr>
      <w:r>
        <w:rPr>
          <w:rFonts w:hint="eastAsia" w:ascii="Times New Roman" w:hAnsi="Times New Roman" w:eastAsia="仿宋" w:cs="Times New Roman"/>
          <w:b/>
          <w:bCs/>
          <w:sz w:val="28"/>
          <w:szCs w:val="28"/>
          <w:lang w:val="en-US" w:eastAsia="zh-CN"/>
        </w:rPr>
        <w:t>二、</w:t>
      </w:r>
      <w:r>
        <w:rPr>
          <w:rFonts w:hint="eastAsia" w:ascii="Times New Roman" w:hAnsi="Times New Roman" w:eastAsia="仿宋" w:cs="Times New Roman"/>
          <w:b/>
          <w:bCs/>
          <w:sz w:val="28"/>
          <w:szCs w:val="28"/>
        </w:rPr>
        <w:t>工作依据</w:t>
      </w:r>
    </w:p>
    <w:p w14:paraId="75CFD5A8">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ascii="Times New Roman" w:hAnsi="Times New Roman" w:eastAsia="仿宋" w:cs="Times New Roman"/>
          <w:color w:val="000000"/>
          <w:kern w:val="0"/>
          <w:sz w:val="28"/>
          <w:szCs w:val="28"/>
        </w:rPr>
      </w:pPr>
      <w:r>
        <w:rPr>
          <w:rFonts w:hint="eastAsia" w:ascii="Times New Roman" w:hAnsi="Times New Roman" w:eastAsia="仿宋" w:cs="Times New Roman"/>
          <w:color w:val="000000"/>
          <w:kern w:val="0"/>
          <w:sz w:val="28"/>
          <w:szCs w:val="28"/>
        </w:rPr>
        <w:t>1.《中华人民共和国土地管理法》（2019年8月26日第十三届全国人民代表大会常务委员会第十二次会议修订，自2020年1月1日起施行）；</w:t>
      </w:r>
    </w:p>
    <w:p w14:paraId="5765E9BE">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ascii="Times New Roman" w:hAnsi="Times New Roman" w:eastAsia="仿宋" w:cs="Times New Roman"/>
          <w:color w:val="000000"/>
          <w:kern w:val="0"/>
          <w:sz w:val="28"/>
          <w:szCs w:val="28"/>
        </w:rPr>
      </w:pPr>
      <w:r>
        <w:rPr>
          <w:rFonts w:hint="eastAsia" w:ascii="Times New Roman" w:hAnsi="Times New Roman" w:eastAsia="仿宋" w:cs="Times New Roman"/>
          <w:color w:val="000000"/>
          <w:kern w:val="0"/>
          <w:sz w:val="28"/>
          <w:szCs w:val="28"/>
        </w:rPr>
        <w:t>2.《广东省土地管理条例》（广东省第十三届人民代表大会常务委员会公告第113号</w:t>
      </w:r>
      <w:r>
        <w:rPr>
          <w:rFonts w:hint="eastAsia" w:ascii="Times New Roman" w:hAnsi="Times New Roman" w:eastAsia="仿宋" w:cs="Times New Roman"/>
          <w:color w:val="000000"/>
          <w:kern w:val="0"/>
          <w:sz w:val="28"/>
          <w:szCs w:val="28"/>
          <w:lang w:eastAsia="zh-CN"/>
        </w:rPr>
        <w:t>，自2022年8月1日起施行</w:t>
      </w:r>
      <w:r>
        <w:rPr>
          <w:rFonts w:hint="eastAsia" w:ascii="Times New Roman" w:hAnsi="Times New Roman" w:eastAsia="仿宋" w:cs="Times New Roman"/>
          <w:color w:val="000000"/>
          <w:kern w:val="0"/>
          <w:sz w:val="28"/>
          <w:szCs w:val="28"/>
        </w:rPr>
        <w:t>）；</w:t>
      </w:r>
    </w:p>
    <w:p w14:paraId="5801AB80">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ascii="Times New Roman" w:hAnsi="Times New Roman" w:eastAsia="仿宋" w:cs="Times New Roman"/>
          <w:color w:val="000000"/>
          <w:kern w:val="0"/>
          <w:sz w:val="28"/>
          <w:szCs w:val="28"/>
        </w:rPr>
      </w:pPr>
      <w:r>
        <w:rPr>
          <w:rFonts w:hint="eastAsia" w:ascii="Times New Roman" w:hAnsi="Times New Roman" w:eastAsia="仿宋" w:cs="Times New Roman"/>
          <w:color w:val="000000"/>
          <w:kern w:val="0"/>
          <w:sz w:val="28"/>
          <w:szCs w:val="28"/>
        </w:rPr>
        <w:t>3.《广东省自然资源厅关于做好区片综合地价调整或重新公布工作的通知》（粤自然资函〔2026〕316号</w:t>
      </w:r>
      <w:r>
        <w:rPr>
          <w:rFonts w:hint="eastAsia" w:ascii="Times New Roman" w:hAnsi="Times New Roman" w:eastAsia="仿宋" w:cs="Times New Roman"/>
          <w:color w:val="000000"/>
          <w:kern w:val="0"/>
          <w:sz w:val="28"/>
          <w:szCs w:val="28"/>
          <w:lang w:eastAsia="zh-CN"/>
        </w:rPr>
        <w:t>，</w:t>
      </w:r>
      <w:r>
        <w:rPr>
          <w:rFonts w:hint="eastAsia" w:ascii="Times New Roman" w:hAnsi="Times New Roman" w:eastAsia="仿宋" w:cs="Times New Roman"/>
          <w:color w:val="000000"/>
          <w:kern w:val="0"/>
          <w:sz w:val="28"/>
          <w:szCs w:val="28"/>
          <w:lang w:val="en-US" w:eastAsia="zh-CN"/>
        </w:rPr>
        <w:t>2026年6月11日印发</w:t>
      </w:r>
      <w:r>
        <w:rPr>
          <w:rFonts w:hint="eastAsia" w:ascii="Times New Roman" w:hAnsi="Times New Roman" w:eastAsia="仿宋" w:cs="Times New Roman"/>
          <w:color w:val="000000"/>
          <w:kern w:val="0"/>
          <w:sz w:val="28"/>
          <w:szCs w:val="28"/>
        </w:rPr>
        <w:t>）；</w:t>
      </w:r>
    </w:p>
    <w:p w14:paraId="652EE4F7">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hint="eastAsia" w:ascii="Times New Roman" w:hAnsi="Times New Roman" w:eastAsia="仿宋" w:cs="Times New Roman"/>
          <w:color w:val="000000"/>
          <w:kern w:val="0"/>
          <w:sz w:val="28"/>
          <w:szCs w:val="28"/>
          <w:lang w:eastAsia="zh-CN"/>
        </w:rPr>
      </w:pPr>
      <w:r>
        <w:rPr>
          <w:rFonts w:hint="eastAsia" w:ascii="Times New Roman" w:hAnsi="Times New Roman" w:eastAsia="仿宋" w:cs="Times New Roman"/>
          <w:color w:val="000000"/>
          <w:kern w:val="0"/>
          <w:sz w:val="28"/>
          <w:szCs w:val="28"/>
        </w:rPr>
        <w:t>4.《广东省自然资源厅关于加快制定征收地上附着物和青苗补偿标准的通知》（粤自然资管制〔2022〕2889号</w:t>
      </w:r>
      <w:r>
        <w:rPr>
          <w:rFonts w:hint="eastAsia" w:ascii="Times New Roman" w:hAnsi="Times New Roman" w:eastAsia="仿宋" w:cs="Times New Roman"/>
          <w:color w:val="000000"/>
          <w:kern w:val="0"/>
          <w:sz w:val="28"/>
          <w:szCs w:val="28"/>
          <w:lang w:eastAsia="zh-CN"/>
        </w:rPr>
        <w:t>，</w:t>
      </w:r>
      <w:r>
        <w:rPr>
          <w:rFonts w:hint="eastAsia" w:ascii="Times New Roman" w:hAnsi="Times New Roman" w:eastAsia="仿宋" w:cs="Times New Roman"/>
          <w:color w:val="000000"/>
          <w:kern w:val="0"/>
          <w:sz w:val="28"/>
          <w:szCs w:val="28"/>
          <w:lang w:val="en-US" w:eastAsia="zh-CN"/>
        </w:rPr>
        <w:t>2022年11月24日印发</w:t>
      </w:r>
      <w:r>
        <w:rPr>
          <w:rFonts w:hint="eastAsia" w:ascii="Times New Roman" w:hAnsi="Times New Roman" w:eastAsia="仿宋" w:cs="Times New Roman"/>
          <w:color w:val="000000"/>
          <w:kern w:val="0"/>
          <w:sz w:val="28"/>
          <w:szCs w:val="28"/>
        </w:rPr>
        <w:t>）</w:t>
      </w:r>
      <w:r>
        <w:rPr>
          <w:rFonts w:hint="eastAsia" w:ascii="Times New Roman" w:hAnsi="Times New Roman" w:eastAsia="仿宋" w:cs="Times New Roman"/>
          <w:color w:val="000000"/>
          <w:kern w:val="0"/>
          <w:sz w:val="28"/>
          <w:szCs w:val="28"/>
          <w:lang w:eastAsia="zh-CN"/>
        </w:rPr>
        <w:t>；</w:t>
      </w:r>
    </w:p>
    <w:p w14:paraId="3EF44E3F">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hint="eastAsia" w:ascii="Times New Roman" w:hAnsi="Times New Roman" w:eastAsia="仿宋" w:cs="Times New Roman"/>
          <w:color w:val="000000"/>
          <w:kern w:val="0"/>
          <w:sz w:val="28"/>
          <w:szCs w:val="28"/>
          <w:lang w:eastAsia="zh-CN"/>
        </w:rPr>
      </w:pPr>
      <w:r>
        <w:rPr>
          <w:rFonts w:hint="eastAsia" w:ascii="Times New Roman" w:hAnsi="Times New Roman" w:eastAsia="仿宋" w:cs="Times New Roman"/>
          <w:color w:val="000000"/>
          <w:kern w:val="0"/>
          <w:sz w:val="28"/>
          <w:szCs w:val="28"/>
          <w:lang w:val="en-US" w:eastAsia="zh-CN"/>
        </w:rPr>
        <w:t>5.</w:t>
      </w:r>
      <w:r>
        <w:rPr>
          <w:rFonts w:hint="eastAsia" w:ascii="Times New Roman" w:hAnsi="Times New Roman" w:eastAsia="仿宋" w:cs="Times New Roman"/>
          <w:color w:val="000000"/>
          <w:kern w:val="0"/>
          <w:sz w:val="28"/>
          <w:szCs w:val="28"/>
        </w:rPr>
        <w:t>《广东省人民政府办公厅关于进一步优化征收农村集体土地留用地管理促进留用地高效开发利用的意见》（粤府办〔2026〕6号</w:t>
      </w:r>
      <w:r>
        <w:rPr>
          <w:rFonts w:hint="eastAsia" w:ascii="Times New Roman" w:hAnsi="Times New Roman" w:eastAsia="仿宋" w:cs="Times New Roman"/>
          <w:color w:val="000000"/>
          <w:kern w:val="0"/>
          <w:sz w:val="28"/>
          <w:szCs w:val="28"/>
          <w:lang w:eastAsia="zh-CN"/>
        </w:rPr>
        <w:t>，</w:t>
      </w:r>
      <w:r>
        <w:rPr>
          <w:rFonts w:hint="eastAsia" w:ascii="Times New Roman" w:hAnsi="Times New Roman" w:eastAsia="仿宋" w:cs="Times New Roman"/>
          <w:color w:val="000000"/>
          <w:kern w:val="0"/>
          <w:sz w:val="28"/>
          <w:szCs w:val="28"/>
          <w:lang w:val="en-US" w:eastAsia="zh-CN"/>
        </w:rPr>
        <w:t>2026年5月22日印发，2026年11月施行</w:t>
      </w:r>
      <w:r>
        <w:rPr>
          <w:rFonts w:hint="eastAsia" w:ascii="Times New Roman" w:hAnsi="Times New Roman" w:eastAsia="仿宋" w:cs="Times New Roman"/>
          <w:color w:val="000000"/>
          <w:kern w:val="0"/>
          <w:sz w:val="28"/>
          <w:szCs w:val="28"/>
        </w:rPr>
        <w:t>）</w:t>
      </w:r>
      <w:r>
        <w:rPr>
          <w:rFonts w:hint="eastAsia" w:ascii="Times New Roman" w:hAnsi="Times New Roman" w:eastAsia="仿宋" w:cs="Times New Roman"/>
          <w:color w:val="000000"/>
          <w:kern w:val="0"/>
          <w:sz w:val="28"/>
          <w:szCs w:val="28"/>
          <w:lang w:eastAsia="zh-CN"/>
        </w:rPr>
        <w:t>；</w:t>
      </w:r>
    </w:p>
    <w:p w14:paraId="38732FFA">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ascii="Times New Roman" w:hAnsi="Times New Roman" w:eastAsia="仿宋" w:cs="Times New Roman"/>
          <w:sz w:val="28"/>
          <w:szCs w:val="28"/>
        </w:rPr>
      </w:pPr>
      <w:r>
        <w:rPr>
          <w:rFonts w:hint="eastAsia" w:ascii="Times New Roman" w:hAnsi="Times New Roman" w:eastAsia="仿宋" w:cs="Times New Roman"/>
          <w:color w:val="000000"/>
          <w:kern w:val="0"/>
          <w:sz w:val="28"/>
          <w:szCs w:val="28"/>
          <w:lang w:val="en-US" w:eastAsia="zh-CN"/>
        </w:rPr>
        <w:t>6.《广东省人民政府办公厅关于加强征收农村集体土地留用地安置管理工作的意见》（粤府办〔2016〕30号，2016年5月3日印发）</w:t>
      </w:r>
      <w:r>
        <w:rPr>
          <w:rFonts w:hint="eastAsia" w:ascii="Times New Roman" w:hAnsi="Times New Roman" w:eastAsia="仿宋" w:cs="Times New Roman"/>
          <w:color w:val="000000"/>
          <w:kern w:val="0"/>
          <w:sz w:val="28"/>
          <w:szCs w:val="28"/>
        </w:rPr>
        <w:t>。</w:t>
      </w:r>
    </w:p>
    <w:p w14:paraId="31D7BF87">
      <w:pPr>
        <w:keepNext/>
        <w:keepLines w:val="0"/>
        <w:pageBreakBefore w:val="0"/>
        <w:widowControl w:val="0"/>
        <w:kinsoku/>
        <w:wordWrap/>
        <w:overflowPunct/>
        <w:topLinePunct w:val="0"/>
        <w:autoSpaceDE/>
        <w:autoSpaceDN/>
        <w:bidi w:val="0"/>
        <w:adjustRightInd w:val="0"/>
        <w:snapToGrid w:val="0"/>
        <w:spacing w:line="312" w:lineRule="auto"/>
        <w:ind w:firstLine="0" w:firstLineChars="0"/>
        <w:textAlignment w:val="auto"/>
        <w:rPr>
          <w:rFonts w:hint="eastAsia" w:ascii="Times New Roman" w:hAnsi="Times New Roman" w:eastAsia="仿宋" w:cs="Times New Roman"/>
          <w:b/>
          <w:bCs/>
          <w:sz w:val="28"/>
          <w:szCs w:val="28"/>
        </w:rPr>
      </w:pPr>
      <w:r>
        <w:rPr>
          <w:rFonts w:hint="eastAsia" w:ascii="Times New Roman" w:hAnsi="Times New Roman" w:eastAsia="仿宋" w:cs="Times New Roman"/>
          <w:b/>
          <w:bCs/>
          <w:sz w:val="28"/>
          <w:szCs w:val="28"/>
        </w:rPr>
        <w:t>三、主要内容</w:t>
      </w:r>
    </w:p>
    <w:p w14:paraId="605FCBCC">
      <w:pPr>
        <w:keepNext/>
        <w:keepLines w:val="0"/>
        <w:pageBreakBefore w:val="0"/>
        <w:widowControl w:val="0"/>
        <w:kinsoku/>
        <w:wordWrap/>
        <w:overflowPunct/>
        <w:topLinePunct w:val="0"/>
        <w:autoSpaceDE/>
        <w:autoSpaceDN/>
        <w:bidi w:val="0"/>
        <w:adjustRightInd w:val="0"/>
        <w:snapToGrid w:val="0"/>
        <w:spacing w:line="312" w:lineRule="auto"/>
        <w:ind w:firstLine="562" w:firstLineChars="200"/>
        <w:textAlignment w:val="auto"/>
        <w:rPr>
          <w:rFonts w:hint="eastAsia" w:ascii="Times New Roman" w:hAnsi="Times New Roman" w:eastAsia="仿宋"/>
          <w:b/>
          <w:bCs/>
          <w:sz w:val="28"/>
          <w:szCs w:val="28"/>
          <w:highlight w:val="none"/>
          <w:u w:val="none"/>
        </w:rPr>
      </w:pPr>
      <w:r>
        <w:rPr>
          <w:rFonts w:hint="eastAsia" w:ascii="Times New Roman" w:hAnsi="Times New Roman" w:eastAsia="仿宋" w:cs="Times New Roman"/>
          <w:b/>
          <w:bCs/>
          <w:color w:val="000000"/>
          <w:kern w:val="0"/>
          <w:sz w:val="28"/>
          <w:szCs w:val="28"/>
          <w:u w:val="none"/>
          <w:lang w:eastAsia="zh-CN"/>
        </w:rPr>
        <w:t>（</w:t>
      </w:r>
      <w:r>
        <w:rPr>
          <w:rFonts w:hint="eastAsia" w:ascii="Times New Roman" w:hAnsi="Times New Roman" w:eastAsia="仿宋" w:cs="Times New Roman"/>
          <w:b/>
          <w:bCs/>
          <w:color w:val="000000"/>
          <w:kern w:val="0"/>
          <w:sz w:val="28"/>
          <w:szCs w:val="28"/>
          <w:u w:val="none"/>
          <w:lang w:val="en-US" w:eastAsia="zh-CN"/>
        </w:rPr>
        <w:t>一</w:t>
      </w:r>
      <w:r>
        <w:rPr>
          <w:rFonts w:hint="eastAsia" w:ascii="Times New Roman" w:hAnsi="Times New Roman" w:eastAsia="仿宋" w:cs="Times New Roman"/>
          <w:b/>
          <w:bCs/>
          <w:color w:val="000000"/>
          <w:kern w:val="0"/>
          <w:sz w:val="28"/>
          <w:szCs w:val="28"/>
          <w:u w:val="none"/>
          <w:lang w:eastAsia="zh-CN"/>
        </w:rPr>
        <w:t>）</w:t>
      </w:r>
      <w:r>
        <w:rPr>
          <w:rFonts w:hint="eastAsia" w:ascii="Times New Roman" w:hAnsi="Times New Roman" w:eastAsia="仿宋"/>
          <w:b/>
          <w:bCs/>
          <w:sz w:val="28"/>
          <w:szCs w:val="28"/>
          <w:highlight w:val="none"/>
          <w:u w:val="none"/>
        </w:rPr>
        <w:t>丰顺县征收农用地区片综合地价</w:t>
      </w:r>
    </w:p>
    <w:p w14:paraId="0AFFDA9D">
      <w:pPr>
        <w:keepNext/>
        <w:keepLines w:val="0"/>
        <w:pageBreakBefore w:val="0"/>
        <w:widowControl w:val="0"/>
        <w:numPr>
          <w:ilvl w:val="0"/>
          <w:numId w:val="1"/>
        </w:numPr>
        <w:kinsoku/>
        <w:wordWrap/>
        <w:overflowPunct/>
        <w:topLinePunct w:val="0"/>
        <w:autoSpaceDE/>
        <w:autoSpaceDN/>
        <w:bidi w:val="0"/>
        <w:adjustRightInd w:val="0"/>
        <w:snapToGrid w:val="0"/>
        <w:spacing w:line="312" w:lineRule="auto"/>
        <w:ind w:firstLine="560" w:firstLineChars="200"/>
        <w:textAlignment w:val="auto"/>
        <w:rPr>
          <w:rFonts w:hint="eastAsia" w:ascii="Times New Roman" w:hAnsi="Times New Roman" w:eastAsia="仿宋"/>
          <w:b w:val="0"/>
          <w:bCs w:val="0"/>
          <w:sz w:val="28"/>
          <w:szCs w:val="28"/>
          <w:highlight w:val="none"/>
        </w:rPr>
      </w:pPr>
      <w:r>
        <w:rPr>
          <w:rFonts w:hint="eastAsia" w:ascii="Times New Roman" w:hAnsi="Times New Roman" w:eastAsia="仿宋"/>
          <w:b w:val="0"/>
          <w:bCs w:val="0"/>
          <w:sz w:val="28"/>
          <w:szCs w:val="28"/>
          <w:highlight w:val="none"/>
        </w:rPr>
        <w:t>明确土地补偿费和安置补助费的比例</w:t>
      </w:r>
    </w:p>
    <w:p w14:paraId="1A881155">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hint="eastAsia" w:ascii="Times New Roman" w:hAnsi="Times New Roman" w:eastAsia="仿宋"/>
          <w:b w:val="0"/>
          <w:bCs w:val="0"/>
          <w:sz w:val="28"/>
          <w:szCs w:val="28"/>
          <w:highlight w:val="none"/>
        </w:rPr>
      </w:pPr>
      <w:r>
        <w:rPr>
          <w:rFonts w:hint="eastAsia" w:ascii="Times New Roman" w:hAnsi="Times New Roman" w:eastAsia="仿宋"/>
          <w:b w:val="0"/>
          <w:bCs w:val="0"/>
          <w:sz w:val="28"/>
          <w:szCs w:val="28"/>
          <w:highlight w:val="none"/>
        </w:rPr>
        <w:t>土地补偿费为区片综合价的40%，安置补助费为区片综合价的60%。</w:t>
      </w:r>
    </w:p>
    <w:p w14:paraId="15F6566F">
      <w:pPr>
        <w:keepNext/>
        <w:keepLines w:val="0"/>
        <w:pageBreakBefore w:val="0"/>
        <w:widowControl w:val="0"/>
        <w:numPr>
          <w:ilvl w:val="0"/>
          <w:numId w:val="1"/>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b w:val="0"/>
          <w:bCs w:val="0"/>
          <w:sz w:val="28"/>
          <w:szCs w:val="28"/>
          <w:highlight w:val="none"/>
        </w:rPr>
      </w:pPr>
      <w:r>
        <w:rPr>
          <w:rFonts w:hint="eastAsia" w:ascii="Times New Roman" w:hAnsi="Times New Roman" w:eastAsia="仿宋"/>
          <w:b w:val="0"/>
          <w:bCs w:val="0"/>
          <w:sz w:val="28"/>
          <w:szCs w:val="28"/>
          <w:highlight w:val="none"/>
        </w:rPr>
        <w:t>划定区片范围</w:t>
      </w:r>
    </w:p>
    <w:p w14:paraId="0C3012FC">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hint="eastAsia" w:ascii="Times New Roman" w:hAnsi="Times New Roman" w:eastAsia="仿宋"/>
          <w:b w:val="0"/>
          <w:bCs w:val="0"/>
          <w:sz w:val="28"/>
          <w:szCs w:val="28"/>
          <w:highlight w:val="none"/>
        </w:rPr>
      </w:pPr>
      <w:r>
        <w:rPr>
          <w:rFonts w:hint="eastAsia" w:ascii="Times New Roman" w:hAnsi="Times New Roman" w:eastAsia="仿宋"/>
          <w:b w:val="0"/>
          <w:bCs w:val="0"/>
          <w:sz w:val="28"/>
          <w:szCs w:val="28"/>
          <w:highlight w:val="none"/>
        </w:rPr>
        <w:t>结合我县实际，全县征地区片划分为三个区片，即第一区片：汤坑镇、汤南镇、汤西镇；第二区片：丰良镇、留隍镇、埔寨镇、埔寨农场、汤坑镇大坝林场；第三区片：潭江镇、北斗镇、黄金镇、潘田镇、建桥镇、龙岗镇、大龙华镇、砂田镇、八乡山镇、小胜镇。</w:t>
      </w:r>
    </w:p>
    <w:p w14:paraId="29835D51">
      <w:pPr>
        <w:keepNext/>
        <w:keepLines w:val="0"/>
        <w:pageBreakBefore w:val="0"/>
        <w:widowControl w:val="0"/>
        <w:numPr>
          <w:ilvl w:val="0"/>
          <w:numId w:val="1"/>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b w:val="0"/>
          <w:bCs w:val="0"/>
          <w:sz w:val="28"/>
          <w:szCs w:val="28"/>
          <w:highlight w:val="none"/>
        </w:rPr>
      </w:pPr>
      <w:r>
        <w:rPr>
          <w:rFonts w:hint="eastAsia" w:ascii="Times New Roman" w:hAnsi="Times New Roman" w:eastAsia="仿宋"/>
          <w:b w:val="0"/>
          <w:bCs w:val="0"/>
          <w:sz w:val="28"/>
          <w:szCs w:val="28"/>
          <w:highlight w:val="none"/>
        </w:rPr>
        <w:t>确定各区片征地补偿标准</w:t>
      </w:r>
    </w:p>
    <w:p w14:paraId="6AF81E3E">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hint="eastAsia" w:ascii="Times New Roman" w:hAnsi="Times New Roman" w:eastAsia="仿宋"/>
          <w:sz w:val="28"/>
          <w:szCs w:val="28"/>
          <w:highlight w:val="none"/>
        </w:rPr>
      </w:pPr>
      <w:r>
        <w:rPr>
          <w:rFonts w:hint="eastAsia" w:ascii="Times New Roman" w:hAnsi="Times New Roman" w:eastAsia="仿宋"/>
          <w:b w:val="0"/>
          <w:bCs w:val="0"/>
          <w:sz w:val="28"/>
          <w:szCs w:val="28"/>
          <w:highlight w:val="none"/>
        </w:rPr>
        <w:t>第一区片综合地价为5.50万</w:t>
      </w:r>
      <w:r>
        <w:rPr>
          <w:rFonts w:hint="eastAsia" w:ascii="Times New Roman" w:hAnsi="Times New Roman" w:eastAsia="仿宋"/>
          <w:sz w:val="28"/>
          <w:szCs w:val="28"/>
          <w:highlight w:val="none"/>
        </w:rPr>
        <w:t>元/亩，其中：土地补偿费2.20万元/亩，安置补助费3.30万元/亩；第二区片综合地价为4.48万元/亩，其中：土地补偿费1.79万元/亩，安置补助费2.69万元/亩；第三区片综合地价为4.09万元/亩，其中：土地补偿费1.64万元/亩，安置补助费2.45万元/亩。</w:t>
      </w:r>
    </w:p>
    <w:p w14:paraId="36122F68">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hint="eastAsia" w:ascii="Times New Roman" w:hAnsi="Times New Roman" w:eastAsia="仿宋"/>
          <w:sz w:val="28"/>
          <w:szCs w:val="28"/>
          <w:highlight w:val="none"/>
        </w:rPr>
      </w:pPr>
      <w:r>
        <w:rPr>
          <w:rFonts w:hint="eastAsia" w:ascii="Times New Roman" w:hAnsi="Times New Roman" w:eastAsia="仿宋"/>
          <w:sz w:val="28"/>
          <w:szCs w:val="28"/>
          <w:highlight w:val="none"/>
        </w:rPr>
        <w:t>丰顺县征收农用地区片综合地价调节系数说明：按照《梅州市人民政府关于公布实施征收农用地区片综合地价的公告》（梅市府〔2024〕1号）确定系数执行，林地调节系数为0.30，水田调节系数为1.20，园地调节系数为0.65，未利用地调节系数为0.4，建设用地参照征收农用地区片综合地价执行。</w:t>
      </w:r>
    </w:p>
    <w:p w14:paraId="5A7F3B2F">
      <w:pPr>
        <w:keepNext w:val="0"/>
        <w:keepLines w:val="0"/>
        <w:pageBreakBefore w:val="0"/>
        <w:widowControl w:val="0"/>
        <w:kinsoku/>
        <w:wordWrap/>
        <w:overflowPunct/>
        <w:topLinePunct w:val="0"/>
        <w:autoSpaceDE/>
        <w:autoSpaceDN/>
        <w:bidi w:val="0"/>
        <w:adjustRightInd w:val="0"/>
        <w:snapToGrid w:val="0"/>
        <w:spacing w:line="312" w:lineRule="auto"/>
        <w:ind w:firstLine="562" w:firstLineChars="200"/>
        <w:textAlignment w:val="auto"/>
        <w:rPr>
          <w:rFonts w:hint="eastAsia" w:ascii="Times New Roman" w:hAnsi="Times New Roman" w:eastAsia="仿宋"/>
          <w:b/>
          <w:bCs/>
          <w:sz w:val="28"/>
          <w:szCs w:val="28"/>
          <w:highlight w:val="none"/>
          <w:u w:val="none"/>
        </w:rPr>
      </w:pPr>
      <w:r>
        <w:rPr>
          <w:rFonts w:hint="eastAsia" w:ascii="Times New Roman" w:hAnsi="Times New Roman" w:eastAsia="仿宋" w:cstheme="minorBidi"/>
          <w:b/>
          <w:bCs/>
          <w:kern w:val="2"/>
          <w:sz w:val="28"/>
          <w:szCs w:val="28"/>
          <w:lang w:val="en-US" w:eastAsia="zh-CN" w:bidi="ar-SA"/>
        </w:rPr>
        <w:t>（二）</w:t>
      </w:r>
      <w:r>
        <w:rPr>
          <w:rFonts w:hint="eastAsia" w:ascii="Times New Roman" w:hAnsi="Times New Roman" w:eastAsia="仿宋"/>
          <w:b/>
          <w:bCs/>
          <w:sz w:val="28"/>
          <w:szCs w:val="28"/>
          <w:highlight w:val="none"/>
          <w:u w:val="none"/>
        </w:rPr>
        <w:t>丰顺县征收地上附着物</w:t>
      </w:r>
      <w:r>
        <w:rPr>
          <w:rFonts w:hint="eastAsia" w:ascii="Times New Roman" w:hAnsi="Times New Roman" w:eastAsia="仿宋"/>
          <w:b/>
          <w:bCs/>
          <w:sz w:val="28"/>
          <w:szCs w:val="28"/>
          <w:highlight w:val="none"/>
          <w:u w:val="none"/>
          <w:lang w:eastAsia="zh-CN"/>
        </w:rPr>
        <w:t>、</w:t>
      </w:r>
      <w:r>
        <w:rPr>
          <w:rFonts w:hint="eastAsia" w:ascii="Times New Roman" w:hAnsi="Times New Roman" w:eastAsia="仿宋"/>
          <w:b/>
          <w:bCs/>
          <w:sz w:val="28"/>
          <w:szCs w:val="28"/>
          <w:highlight w:val="none"/>
          <w:u w:val="none"/>
        </w:rPr>
        <w:t>青苗补偿标准和奖励办法</w:t>
      </w:r>
    </w:p>
    <w:p w14:paraId="3D516F4C">
      <w:pPr>
        <w:keepNext w:val="0"/>
        <w:keepLines w:val="0"/>
        <w:pageBreakBefore w:val="0"/>
        <w:widowControl w:val="0"/>
        <w:numPr>
          <w:ilvl w:val="0"/>
          <w:numId w:val="2"/>
        </w:numPr>
        <w:kinsoku/>
        <w:wordWrap/>
        <w:overflowPunct/>
        <w:topLinePunct w:val="0"/>
        <w:autoSpaceDE/>
        <w:autoSpaceDN/>
        <w:bidi w:val="0"/>
        <w:adjustRightInd w:val="0"/>
        <w:snapToGrid w:val="0"/>
        <w:spacing w:line="312" w:lineRule="auto"/>
        <w:ind w:left="0" w:leftChars="0" w:firstLine="560" w:firstLineChars="200"/>
        <w:jc w:val="both"/>
        <w:textAlignment w:val="auto"/>
        <w:rPr>
          <w:rFonts w:hint="eastAsia" w:ascii="Times New Roman" w:hAnsi="Times New Roman" w:eastAsia="仿宋"/>
          <w:b w:val="0"/>
          <w:bCs w:val="0"/>
          <w:sz w:val="28"/>
          <w:szCs w:val="28"/>
          <w:highlight w:val="none"/>
          <w:lang w:val="en-US" w:eastAsia="zh-CN"/>
        </w:rPr>
      </w:pPr>
      <w:r>
        <w:rPr>
          <w:rFonts w:hint="eastAsia" w:ascii="Times New Roman" w:hAnsi="Times New Roman" w:eastAsia="仿宋"/>
          <w:b w:val="0"/>
          <w:bCs w:val="0"/>
          <w:sz w:val="28"/>
          <w:szCs w:val="28"/>
          <w:highlight w:val="none"/>
          <w:lang w:val="en-US" w:eastAsia="zh-CN"/>
        </w:rPr>
        <w:t>全文发布条款共二十条，发布内容涉及地上附着物和青苗补偿征收项目、适用范围、处理方式、不予补偿的情形、未涉及的个案补偿处理、国有土地房屋执行、征收房屋争议解决规定、奖励办法、工作经费等条款。</w:t>
      </w:r>
    </w:p>
    <w:p w14:paraId="387866D1">
      <w:pPr>
        <w:keepNext w:val="0"/>
        <w:keepLines w:val="0"/>
        <w:pageBreakBefore w:val="0"/>
        <w:widowControl w:val="0"/>
        <w:numPr>
          <w:ilvl w:val="0"/>
          <w:numId w:val="2"/>
        </w:numPr>
        <w:kinsoku/>
        <w:wordWrap/>
        <w:overflowPunct/>
        <w:topLinePunct w:val="0"/>
        <w:autoSpaceDE/>
        <w:autoSpaceDN/>
        <w:bidi w:val="0"/>
        <w:adjustRightInd w:val="0"/>
        <w:snapToGrid w:val="0"/>
        <w:spacing w:line="312" w:lineRule="auto"/>
        <w:ind w:left="0" w:leftChars="0" w:firstLine="560" w:firstLineChars="200"/>
        <w:jc w:val="both"/>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b w:val="0"/>
          <w:bCs w:val="0"/>
          <w:kern w:val="0"/>
          <w:sz w:val="28"/>
          <w:szCs w:val="28"/>
          <w:highlight w:val="none"/>
          <w:lang w:val="en-US" w:eastAsia="zh-CN"/>
        </w:rPr>
        <w:t>征收地上附着物和青苗补偿包含以下五大类内容：</w:t>
      </w:r>
    </w:p>
    <w:p w14:paraId="6A9B7DC8">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560" w:firstLineChars="200"/>
        <w:jc w:val="both"/>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cstheme="minorBidi"/>
          <w:b w:val="0"/>
          <w:bCs w:val="0"/>
          <w:kern w:val="0"/>
          <w:sz w:val="28"/>
          <w:szCs w:val="28"/>
          <w:lang w:val="en-US" w:eastAsia="zh-CN" w:bidi="ar-SA"/>
        </w:rPr>
        <w:t>（1）</w:t>
      </w:r>
      <w:r>
        <w:rPr>
          <w:rFonts w:hint="eastAsia" w:ascii="Times New Roman" w:hAnsi="Times New Roman" w:eastAsia="仿宋"/>
          <w:b w:val="0"/>
          <w:bCs w:val="0"/>
          <w:kern w:val="0"/>
          <w:sz w:val="28"/>
          <w:szCs w:val="28"/>
          <w:highlight w:val="none"/>
          <w:lang w:val="en-US" w:eastAsia="zh-CN"/>
        </w:rPr>
        <w:t>短期经济作物补偿标准：包括粮食作物类、经济作物类、蔬菜类三大类的补偿标准。其中涉及有稻谷、玉米、花生、木薯、莲藕、瓜类、绿叶类、菌类等细分补偿项目。</w:t>
      </w:r>
    </w:p>
    <w:p w14:paraId="1FAACC24">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560" w:firstLineChars="200"/>
        <w:jc w:val="both"/>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cstheme="minorBidi"/>
          <w:b w:val="0"/>
          <w:bCs w:val="0"/>
          <w:kern w:val="0"/>
          <w:sz w:val="28"/>
          <w:szCs w:val="28"/>
          <w:lang w:val="en-US" w:eastAsia="zh-CN" w:bidi="ar-SA"/>
        </w:rPr>
        <w:t>（2）</w:t>
      </w:r>
      <w:r>
        <w:rPr>
          <w:rFonts w:hint="eastAsia" w:ascii="Times New Roman" w:hAnsi="Times New Roman" w:eastAsia="仿宋"/>
          <w:b w:val="0"/>
          <w:bCs w:val="0"/>
          <w:kern w:val="0"/>
          <w:sz w:val="28"/>
          <w:szCs w:val="28"/>
          <w:highlight w:val="none"/>
          <w:lang w:val="en-US" w:eastAsia="zh-CN"/>
        </w:rPr>
        <w:t>花卉苗木补偿标准：分零星补偿及成片补偿两种方式进行补偿，包括花卉类、果木类、林木类三大类补偿标准。</w:t>
      </w:r>
    </w:p>
    <w:p w14:paraId="29B92E41">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560" w:firstLineChars="200"/>
        <w:jc w:val="both"/>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cstheme="minorBidi"/>
          <w:b w:val="0"/>
          <w:bCs w:val="0"/>
          <w:kern w:val="0"/>
          <w:sz w:val="28"/>
          <w:szCs w:val="28"/>
          <w:lang w:val="en-US" w:eastAsia="zh-CN" w:bidi="ar-SA"/>
        </w:rPr>
        <w:t>（3）</w:t>
      </w:r>
      <w:r>
        <w:rPr>
          <w:rFonts w:hint="eastAsia" w:ascii="Times New Roman" w:hAnsi="Times New Roman" w:eastAsia="仿宋"/>
          <w:b w:val="0"/>
          <w:bCs w:val="0"/>
          <w:kern w:val="0"/>
          <w:sz w:val="28"/>
          <w:szCs w:val="28"/>
          <w:highlight w:val="none"/>
          <w:lang w:val="en-US" w:eastAsia="zh-CN"/>
        </w:rPr>
        <w:t>水产类补偿标准：包括鱼类、龟鳖类两大类的补偿标准。</w:t>
      </w:r>
    </w:p>
    <w:p w14:paraId="43CA0900">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560" w:firstLineChars="200"/>
        <w:jc w:val="both"/>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cstheme="minorBidi"/>
          <w:b w:val="0"/>
          <w:bCs w:val="0"/>
          <w:kern w:val="0"/>
          <w:sz w:val="28"/>
          <w:szCs w:val="28"/>
          <w:lang w:val="en-US" w:eastAsia="zh-CN" w:bidi="ar-SA"/>
        </w:rPr>
        <w:t>（4）</w:t>
      </w:r>
      <w:r>
        <w:rPr>
          <w:rFonts w:hint="eastAsia" w:ascii="Times New Roman" w:hAnsi="Times New Roman" w:eastAsia="仿宋"/>
          <w:b w:val="0"/>
          <w:bCs w:val="0"/>
          <w:kern w:val="0"/>
          <w:sz w:val="28"/>
          <w:szCs w:val="28"/>
          <w:highlight w:val="none"/>
          <w:lang w:val="en-US" w:eastAsia="zh-CN"/>
        </w:rPr>
        <w:t>建构筑物补偿标准：包括建筑物、构筑物两大类的补偿标准。其中建筑物中部分补偿项目按照住宅类、非住宅类进行细分。</w:t>
      </w:r>
    </w:p>
    <w:p w14:paraId="466C8013">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Chars="0" w:firstLine="560" w:firstLineChars="200"/>
        <w:jc w:val="both"/>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cstheme="minorBidi"/>
          <w:b w:val="0"/>
          <w:bCs w:val="0"/>
          <w:kern w:val="0"/>
          <w:sz w:val="28"/>
          <w:szCs w:val="28"/>
          <w:lang w:val="en-US" w:eastAsia="zh-CN" w:bidi="ar-SA"/>
        </w:rPr>
        <w:t>（5）</w:t>
      </w:r>
      <w:r>
        <w:rPr>
          <w:rFonts w:hint="eastAsia" w:ascii="Times New Roman" w:hAnsi="Times New Roman" w:eastAsia="仿宋"/>
          <w:b w:val="0"/>
          <w:bCs w:val="0"/>
          <w:kern w:val="0"/>
          <w:sz w:val="28"/>
          <w:szCs w:val="28"/>
          <w:highlight w:val="none"/>
          <w:lang w:val="en-US" w:eastAsia="zh-CN"/>
        </w:rPr>
        <w:t>坟墓迁移补偿标准：包括大圆顶、中圆顶、小圆顶、福德公婆、有石碑土坟、无石碑土坟、骨坛7类补偿标准。</w:t>
      </w:r>
    </w:p>
    <w:p w14:paraId="632BE75E">
      <w:pPr>
        <w:keepNext w:val="0"/>
        <w:keepLines w:val="0"/>
        <w:pageBreakBefore w:val="0"/>
        <w:widowControl w:val="0"/>
        <w:numPr>
          <w:ilvl w:val="0"/>
          <w:numId w:val="2"/>
        </w:numPr>
        <w:kinsoku/>
        <w:wordWrap/>
        <w:overflowPunct/>
        <w:topLinePunct w:val="0"/>
        <w:autoSpaceDE/>
        <w:autoSpaceDN/>
        <w:bidi w:val="0"/>
        <w:adjustRightInd w:val="0"/>
        <w:snapToGrid w:val="0"/>
        <w:spacing w:line="312" w:lineRule="auto"/>
        <w:ind w:left="0" w:leftChars="0" w:firstLine="560" w:firstLineChars="200"/>
        <w:jc w:val="both"/>
        <w:textAlignment w:val="auto"/>
        <w:rPr>
          <w:rFonts w:hint="default" w:ascii="Times New Roman" w:hAnsi="Times New Roman" w:eastAsia="仿宋"/>
          <w:b w:val="0"/>
          <w:bCs w:val="0"/>
          <w:kern w:val="0"/>
          <w:sz w:val="28"/>
          <w:szCs w:val="28"/>
          <w:highlight w:val="none"/>
          <w:lang w:val="en-US" w:eastAsia="zh-CN"/>
        </w:rPr>
      </w:pPr>
      <w:r>
        <w:rPr>
          <w:rFonts w:hint="eastAsia" w:ascii="Times New Roman" w:hAnsi="Times New Roman" w:eastAsia="仿宋"/>
          <w:b w:val="0"/>
          <w:bCs w:val="0"/>
          <w:kern w:val="0"/>
          <w:sz w:val="28"/>
          <w:szCs w:val="28"/>
          <w:highlight w:val="none"/>
          <w:lang w:val="en-US" w:eastAsia="zh-CN"/>
        </w:rPr>
        <w:t>奖励办法包含以下三大类内容：</w:t>
      </w:r>
    </w:p>
    <w:p w14:paraId="72270060">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Chars="0" w:firstLine="560" w:firstLineChars="200"/>
        <w:jc w:val="both"/>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b w:val="0"/>
          <w:bCs w:val="0"/>
          <w:kern w:val="0"/>
          <w:sz w:val="28"/>
          <w:szCs w:val="28"/>
          <w:highlight w:val="none"/>
          <w:lang w:val="en-US" w:eastAsia="zh-CN"/>
        </w:rPr>
        <w:t>（1）建筑物、构筑物及房屋拆迁奖励办法：明确了不同签约、搬迁行为对应的奖励标准，以及奖励发放的规则。</w:t>
      </w:r>
    </w:p>
    <w:p w14:paraId="2092B013">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Chars="0" w:firstLine="560" w:firstLineChars="200"/>
        <w:jc w:val="both"/>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b w:val="0"/>
          <w:bCs w:val="0"/>
          <w:kern w:val="0"/>
          <w:sz w:val="28"/>
          <w:szCs w:val="28"/>
          <w:highlight w:val="none"/>
          <w:lang w:val="en-US" w:eastAsia="zh-CN"/>
        </w:rPr>
        <w:t>（2）坟墓拆迁奖励办法：明确了坟墓拆迁对应的奖励标准。</w:t>
      </w:r>
    </w:p>
    <w:p w14:paraId="6C3F5918">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Chars="0" w:firstLine="560" w:firstLineChars="200"/>
        <w:jc w:val="both"/>
        <w:textAlignment w:val="auto"/>
        <w:rPr>
          <w:rFonts w:hint="default" w:ascii="Times New Roman" w:hAnsi="Times New Roman" w:eastAsia="仿宋"/>
          <w:b w:val="0"/>
          <w:bCs w:val="0"/>
          <w:kern w:val="0"/>
          <w:sz w:val="28"/>
          <w:szCs w:val="28"/>
          <w:highlight w:val="none"/>
          <w:lang w:val="en-US" w:eastAsia="zh-CN"/>
        </w:rPr>
      </w:pPr>
      <w:r>
        <w:rPr>
          <w:rFonts w:hint="eastAsia" w:ascii="Times New Roman" w:hAnsi="Times New Roman" w:eastAsia="仿宋"/>
          <w:b w:val="0"/>
          <w:bCs w:val="0"/>
          <w:kern w:val="0"/>
          <w:sz w:val="28"/>
          <w:szCs w:val="28"/>
          <w:highlight w:val="none"/>
          <w:lang w:val="en-US" w:eastAsia="zh-CN"/>
        </w:rPr>
        <w:t>（3）征收集体土地奖励办法：明确了集体土地征收工作的奖励标准，并区分了线状项目与块状项目征收土地的不同奖励额度。</w:t>
      </w:r>
    </w:p>
    <w:p w14:paraId="1BE971F2">
      <w:pPr>
        <w:keepNext w:val="0"/>
        <w:keepLines w:val="0"/>
        <w:pageBreakBefore w:val="0"/>
        <w:widowControl w:val="0"/>
        <w:kinsoku/>
        <w:wordWrap/>
        <w:overflowPunct/>
        <w:topLinePunct w:val="0"/>
        <w:autoSpaceDE/>
        <w:autoSpaceDN/>
        <w:bidi w:val="0"/>
        <w:adjustRightInd w:val="0"/>
        <w:snapToGrid w:val="0"/>
        <w:spacing w:line="312" w:lineRule="auto"/>
        <w:ind w:firstLine="562" w:firstLineChars="200"/>
        <w:textAlignment w:val="auto"/>
        <w:rPr>
          <w:rFonts w:hint="eastAsia" w:ascii="Times New Roman" w:hAnsi="Times New Roman" w:eastAsia="仿宋"/>
          <w:b/>
          <w:bCs/>
          <w:sz w:val="28"/>
          <w:szCs w:val="28"/>
          <w:highlight w:val="none"/>
          <w:u w:val="none"/>
        </w:rPr>
      </w:pPr>
      <w:r>
        <w:rPr>
          <w:rFonts w:hint="eastAsia" w:ascii="Times New Roman" w:hAnsi="Times New Roman" w:eastAsia="仿宋"/>
          <w:b/>
          <w:bCs/>
          <w:sz w:val="28"/>
          <w:szCs w:val="28"/>
          <w:highlight w:val="none"/>
          <w:u w:val="none"/>
          <w:lang w:eastAsia="zh-CN"/>
        </w:rPr>
        <w:t>（</w:t>
      </w:r>
      <w:r>
        <w:rPr>
          <w:rFonts w:hint="eastAsia" w:ascii="Times New Roman" w:hAnsi="Times New Roman" w:eastAsia="仿宋"/>
          <w:b/>
          <w:bCs/>
          <w:sz w:val="28"/>
          <w:szCs w:val="28"/>
          <w:highlight w:val="none"/>
          <w:u w:val="none"/>
          <w:lang w:val="en-US" w:eastAsia="zh-CN"/>
        </w:rPr>
        <w:t>三</w:t>
      </w:r>
      <w:r>
        <w:rPr>
          <w:rFonts w:hint="eastAsia" w:ascii="Times New Roman" w:hAnsi="Times New Roman" w:eastAsia="仿宋"/>
          <w:b/>
          <w:bCs/>
          <w:sz w:val="28"/>
          <w:szCs w:val="28"/>
          <w:highlight w:val="none"/>
          <w:u w:val="none"/>
          <w:lang w:eastAsia="zh-CN"/>
        </w:rPr>
        <w:t>）</w:t>
      </w:r>
      <w:r>
        <w:rPr>
          <w:rFonts w:hint="eastAsia" w:ascii="Times New Roman" w:hAnsi="Times New Roman" w:eastAsia="仿宋"/>
          <w:b/>
          <w:bCs/>
          <w:sz w:val="28"/>
          <w:szCs w:val="28"/>
          <w:highlight w:val="none"/>
          <w:u w:val="none"/>
        </w:rPr>
        <w:t>丰顺县征收集体土地留用地补偿标准</w:t>
      </w:r>
    </w:p>
    <w:p w14:paraId="06F3AFEB">
      <w:pPr>
        <w:keepNext w:val="0"/>
        <w:keepLines w:val="0"/>
        <w:pageBreakBefore w:val="0"/>
        <w:widowControl w:val="0"/>
        <w:numPr>
          <w:ilvl w:val="0"/>
          <w:numId w:val="3"/>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b w:val="0"/>
          <w:bCs w:val="0"/>
          <w:kern w:val="0"/>
          <w:sz w:val="28"/>
          <w:szCs w:val="28"/>
          <w:highlight w:val="none"/>
          <w:lang w:val="en-US" w:eastAsia="zh-CN"/>
        </w:rPr>
        <w:t>留用地安排</w:t>
      </w:r>
    </w:p>
    <w:p w14:paraId="64A3C1B7">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kern w:val="0"/>
          <w:sz w:val="28"/>
          <w:szCs w:val="28"/>
          <w:highlight w:val="none"/>
        </w:rPr>
      </w:pPr>
      <w:r>
        <w:rPr>
          <w:rFonts w:hint="eastAsia" w:ascii="Times New Roman" w:hAnsi="Times New Roman" w:eastAsia="仿宋"/>
          <w:kern w:val="0"/>
          <w:sz w:val="28"/>
          <w:szCs w:val="28"/>
          <w:highlight w:val="none"/>
        </w:rPr>
        <w:t>根据《广东省人民政府办公厅关于进一步优化征收农村集体土地留用地管理促进留用地高效开发利用的意见》（粤府办〔2026〕6号）（以下称《意见》）规定，在《意见》于2026年11月12日施行前，已签订征地补偿安置协议或其他有效书面方式约定安置方式但尚未兑现的留用地（以下称历史留用地）优先按约定的方式和比例兑现。《意见》施行后，征收农村集体土地新增留用地原则上采取非实地留用的方式安置。</w:t>
      </w:r>
    </w:p>
    <w:p w14:paraId="6C11C9FA">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kern w:val="0"/>
          <w:sz w:val="28"/>
          <w:szCs w:val="28"/>
          <w:highlight w:val="none"/>
        </w:rPr>
      </w:pPr>
      <w:r>
        <w:rPr>
          <w:rFonts w:hint="eastAsia" w:ascii="Times New Roman" w:hAnsi="Times New Roman" w:eastAsia="仿宋"/>
          <w:kern w:val="0"/>
          <w:sz w:val="28"/>
          <w:szCs w:val="28"/>
          <w:highlight w:val="none"/>
          <w:lang w:val="en-US" w:eastAsia="zh-CN"/>
        </w:rPr>
        <w:t>（1）</w:t>
      </w:r>
      <w:r>
        <w:rPr>
          <w:rFonts w:hint="eastAsia" w:ascii="Times New Roman" w:hAnsi="Times New Roman" w:eastAsia="仿宋"/>
          <w:kern w:val="0"/>
          <w:sz w:val="28"/>
          <w:szCs w:val="28"/>
          <w:highlight w:val="none"/>
        </w:rPr>
        <w:t>历史留用地：以村民小组为单位，被征收农村集体经济组织的留用地，按征收各地类总面积的10%安排；选择货币补偿的，按征收各地类总面积的13%计算留用地；留用地不足10亩，或者该村民小组无符合规划土地可安排的，按征收各地类总面积的13%进行折算货币补偿。</w:t>
      </w:r>
    </w:p>
    <w:p w14:paraId="09CB9626">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kern w:val="0"/>
          <w:sz w:val="28"/>
          <w:szCs w:val="28"/>
          <w:highlight w:val="none"/>
        </w:rPr>
      </w:pPr>
      <w:r>
        <w:rPr>
          <w:rFonts w:hint="eastAsia" w:ascii="Times New Roman" w:hAnsi="Times New Roman" w:eastAsia="仿宋"/>
          <w:kern w:val="0"/>
          <w:sz w:val="28"/>
          <w:szCs w:val="28"/>
          <w:highlight w:val="none"/>
          <w:lang w:val="en-US" w:eastAsia="zh-CN"/>
        </w:rPr>
        <w:t>（2）</w:t>
      </w:r>
      <w:r>
        <w:rPr>
          <w:rFonts w:hint="eastAsia" w:ascii="Times New Roman" w:hAnsi="Times New Roman" w:eastAsia="仿宋"/>
          <w:kern w:val="0"/>
          <w:sz w:val="28"/>
          <w:szCs w:val="28"/>
          <w:highlight w:val="none"/>
        </w:rPr>
        <w:t>2026年11月12日后新增常规征地项目，原则上采取非实地留用的方式安置。</w:t>
      </w:r>
    </w:p>
    <w:p w14:paraId="0D966556">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kern w:val="0"/>
          <w:sz w:val="28"/>
          <w:szCs w:val="28"/>
          <w:highlight w:val="none"/>
        </w:rPr>
      </w:pPr>
      <w:r>
        <w:rPr>
          <w:rFonts w:hint="eastAsia" w:ascii="Times New Roman" w:hAnsi="Times New Roman" w:eastAsia="仿宋"/>
          <w:kern w:val="0"/>
          <w:sz w:val="28"/>
          <w:szCs w:val="28"/>
          <w:highlight w:val="none"/>
          <w:lang w:val="en-US" w:eastAsia="zh-CN"/>
        </w:rPr>
        <w:t>①</w:t>
      </w:r>
      <w:r>
        <w:rPr>
          <w:rFonts w:hint="eastAsia" w:ascii="Times New Roman" w:hAnsi="Times New Roman" w:eastAsia="仿宋"/>
          <w:kern w:val="0"/>
          <w:sz w:val="28"/>
          <w:szCs w:val="28"/>
          <w:highlight w:val="none"/>
        </w:rPr>
        <w:t>采取实地留用方式安置的，以村民小组为单位，被征收农村集体经济组织的留用地，按征收各地类总面积的10%安排；根据《意见》要求，应当优先兑现落实开发方向明确、项目成熟度高、综合效益好的项目；应当同步审查留用地开发利用方案，确定留用地兑现和开发利用相关要求；并应当按照规定或约定时限进行开发建设。留用地不得私自转让，如需转让必须依法办理相关手续。</w:t>
      </w:r>
    </w:p>
    <w:p w14:paraId="4E36DD92">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kern w:val="0"/>
          <w:sz w:val="28"/>
          <w:szCs w:val="28"/>
          <w:highlight w:val="none"/>
        </w:rPr>
      </w:pPr>
      <w:r>
        <w:rPr>
          <w:rFonts w:hint="eastAsia" w:ascii="Times New Roman" w:hAnsi="Times New Roman" w:eastAsia="仿宋"/>
          <w:kern w:val="0"/>
          <w:sz w:val="28"/>
          <w:szCs w:val="28"/>
          <w:highlight w:val="none"/>
          <w:lang w:val="en-US" w:eastAsia="zh-CN"/>
        </w:rPr>
        <w:t>②</w:t>
      </w:r>
      <w:r>
        <w:rPr>
          <w:rFonts w:hint="eastAsia" w:ascii="Times New Roman" w:hAnsi="Times New Roman" w:eastAsia="仿宋"/>
          <w:kern w:val="0"/>
          <w:sz w:val="28"/>
          <w:szCs w:val="28"/>
          <w:highlight w:val="none"/>
        </w:rPr>
        <w:t>被征地农村集体经济组织自愿放弃实地留用地的、留用地选址方案不符合国土空间规划的，或因国家和省重大线性工程项目征收土地的，应当采取非实地留用方式安置；非实地留用方式包括折算货币、置换物业、作价出资（入股）等；非实地留用安置标准不得低于签订非实地留用安置协议或征地补偿安置协议时被征收土地所在地的工业用地级别基准地价。</w:t>
      </w:r>
    </w:p>
    <w:p w14:paraId="41D5A4D5">
      <w:pPr>
        <w:keepNext w:val="0"/>
        <w:keepLines w:val="0"/>
        <w:pageBreakBefore w:val="0"/>
        <w:widowControl w:val="0"/>
        <w:numPr>
          <w:ilvl w:val="0"/>
          <w:numId w:val="3"/>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b w:val="0"/>
          <w:bCs w:val="0"/>
          <w:kern w:val="0"/>
          <w:sz w:val="28"/>
          <w:szCs w:val="28"/>
          <w:highlight w:val="none"/>
          <w:lang w:val="en-US" w:eastAsia="zh-CN"/>
        </w:rPr>
      </w:pPr>
      <w:r>
        <w:rPr>
          <w:rFonts w:hint="eastAsia" w:ascii="Times New Roman" w:hAnsi="Times New Roman" w:eastAsia="仿宋"/>
          <w:b w:val="0"/>
          <w:bCs w:val="0"/>
          <w:kern w:val="0"/>
          <w:sz w:val="28"/>
          <w:szCs w:val="28"/>
          <w:highlight w:val="none"/>
          <w:lang w:val="en-US" w:eastAsia="zh-CN"/>
        </w:rPr>
        <w:t>补偿标准</w:t>
      </w:r>
    </w:p>
    <w:p w14:paraId="40E6344E">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kern w:val="0"/>
          <w:sz w:val="28"/>
          <w:szCs w:val="28"/>
          <w:highlight w:val="none"/>
        </w:rPr>
      </w:pPr>
      <w:r>
        <w:rPr>
          <w:rFonts w:hint="eastAsia" w:ascii="Times New Roman" w:hAnsi="Times New Roman" w:eastAsia="仿宋"/>
          <w:kern w:val="0"/>
          <w:sz w:val="28"/>
          <w:szCs w:val="28"/>
          <w:highlight w:val="none"/>
        </w:rPr>
        <w:t>（</w:t>
      </w:r>
      <w:r>
        <w:rPr>
          <w:rFonts w:hint="eastAsia" w:ascii="Times New Roman" w:hAnsi="Times New Roman" w:eastAsia="仿宋"/>
          <w:kern w:val="0"/>
          <w:sz w:val="28"/>
          <w:szCs w:val="28"/>
          <w:highlight w:val="none"/>
          <w:lang w:val="en-US" w:eastAsia="zh-CN"/>
        </w:rPr>
        <w:t>1</w:t>
      </w:r>
      <w:r>
        <w:rPr>
          <w:rFonts w:hint="eastAsia" w:ascii="Times New Roman" w:hAnsi="Times New Roman" w:eastAsia="仿宋"/>
          <w:kern w:val="0"/>
          <w:sz w:val="28"/>
          <w:szCs w:val="28"/>
          <w:highlight w:val="none"/>
        </w:rPr>
        <w:t>）留用地折算货币补偿标准根据《广东省人民政府办公厅关于加强征收农村集体土地留用地安置管理工作的意见》（粤府办〔2016〕30号）的规定确定补偿标准。留用地折算货币补偿的区片对应我县征收农用地区片综合地价确定的三个区片确定补偿标准，三个区片分别如下：</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19"/>
        <w:gridCol w:w="2850"/>
        <w:gridCol w:w="3312"/>
      </w:tblGrid>
      <w:tr w14:paraId="49735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119" w:type="dxa"/>
            <w:tcBorders>
              <w:top w:val="single" w:color="000000" w:sz="4" w:space="0"/>
              <w:left w:val="single" w:color="000000" w:sz="4" w:space="0"/>
              <w:bottom w:val="single" w:color="000000" w:sz="4" w:space="0"/>
              <w:right w:val="single" w:color="000000" w:sz="4" w:space="0"/>
            </w:tcBorders>
            <w:vAlign w:val="center"/>
          </w:tcPr>
          <w:p w14:paraId="21DDD55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b/>
                <w:bCs/>
                <w:kern w:val="0"/>
                <w:sz w:val="28"/>
                <w:szCs w:val="28"/>
                <w:highlight w:val="none"/>
              </w:rPr>
            </w:pPr>
            <w:r>
              <w:rPr>
                <w:rFonts w:hint="eastAsia" w:ascii="Times New Roman" w:hAnsi="Times New Roman" w:eastAsia="仿宋" w:cs="Times New Roman"/>
                <w:b/>
                <w:bCs/>
                <w:kern w:val="0"/>
                <w:sz w:val="28"/>
                <w:szCs w:val="28"/>
                <w:highlight w:val="none"/>
              </w:rPr>
              <w:t>一区</w:t>
            </w:r>
          </w:p>
        </w:tc>
        <w:tc>
          <w:tcPr>
            <w:tcW w:w="2850" w:type="dxa"/>
            <w:tcBorders>
              <w:top w:val="single" w:color="000000" w:sz="4" w:space="0"/>
              <w:left w:val="single" w:color="000000" w:sz="4" w:space="0"/>
              <w:bottom w:val="single" w:color="000000" w:sz="4" w:space="0"/>
              <w:right w:val="single" w:color="000000" w:sz="4" w:space="0"/>
            </w:tcBorders>
            <w:vAlign w:val="center"/>
          </w:tcPr>
          <w:p w14:paraId="1F3C179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b/>
                <w:bCs/>
                <w:kern w:val="0"/>
                <w:sz w:val="28"/>
                <w:szCs w:val="28"/>
                <w:highlight w:val="none"/>
              </w:rPr>
            </w:pPr>
            <w:r>
              <w:rPr>
                <w:rFonts w:hint="eastAsia" w:ascii="Times New Roman" w:hAnsi="Times New Roman" w:eastAsia="仿宋" w:cs="Times New Roman"/>
                <w:b/>
                <w:bCs/>
                <w:kern w:val="0"/>
                <w:sz w:val="28"/>
                <w:szCs w:val="28"/>
                <w:highlight w:val="none"/>
              </w:rPr>
              <w:t>二区</w:t>
            </w:r>
          </w:p>
        </w:tc>
        <w:tc>
          <w:tcPr>
            <w:tcW w:w="3312" w:type="dxa"/>
            <w:tcBorders>
              <w:top w:val="single" w:color="000000" w:sz="4" w:space="0"/>
              <w:left w:val="single" w:color="000000" w:sz="4" w:space="0"/>
              <w:bottom w:val="single" w:color="000000" w:sz="4" w:space="0"/>
              <w:right w:val="single" w:color="000000" w:sz="4" w:space="0"/>
            </w:tcBorders>
            <w:vAlign w:val="center"/>
          </w:tcPr>
          <w:p w14:paraId="1087B3A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b/>
                <w:bCs/>
                <w:kern w:val="0"/>
                <w:sz w:val="28"/>
                <w:szCs w:val="28"/>
                <w:highlight w:val="none"/>
              </w:rPr>
            </w:pPr>
            <w:r>
              <w:rPr>
                <w:rFonts w:hint="eastAsia" w:ascii="Times New Roman" w:hAnsi="Times New Roman" w:eastAsia="仿宋" w:cs="Times New Roman"/>
                <w:b/>
                <w:bCs/>
                <w:kern w:val="0"/>
                <w:sz w:val="28"/>
                <w:szCs w:val="28"/>
                <w:highlight w:val="none"/>
              </w:rPr>
              <w:t>三区</w:t>
            </w:r>
          </w:p>
        </w:tc>
      </w:tr>
      <w:tr w14:paraId="2794B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19" w:type="dxa"/>
            <w:tcBorders>
              <w:top w:val="single" w:color="000000" w:sz="4" w:space="0"/>
              <w:left w:val="single" w:color="000000" w:sz="4" w:space="0"/>
              <w:bottom w:val="single" w:color="000000" w:sz="4" w:space="0"/>
              <w:right w:val="single" w:color="000000" w:sz="4" w:space="0"/>
            </w:tcBorders>
            <w:vAlign w:val="center"/>
          </w:tcPr>
          <w:p w14:paraId="110F1F7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汤坑镇、汤南镇、汤西镇</w:t>
            </w:r>
          </w:p>
        </w:tc>
        <w:tc>
          <w:tcPr>
            <w:tcW w:w="2850" w:type="dxa"/>
            <w:tcBorders>
              <w:top w:val="single" w:color="000000" w:sz="4" w:space="0"/>
              <w:left w:val="single" w:color="000000" w:sz="4" w:space="0"/>
              <w:bottom w:val="single" w:color="000000" w:sz="4" w:space="0"/>
              <w:right w:val="single" w:color="000000" w:sz="4" w:space="0"/>
            </w:tcBorders>
            <w:vAlign w:val="center"/>
          </w:tcPr>
          <w:p w14:paraId="14940E7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丰良镇、留隍镇、埔寨镇、埔寨农场、汤坑镇大坝林场</w:t>
            </w:r>
          </w:p>
        </w:tc>
        <w:tc>
          <w:tcPr>
            <w:tcW w:w="3312" w:type="dxa"/>
            <w:tcBorders>
              <w:top w:val="single" w:color="000000" w:sz="4" w:space="0"/>
              <w:left w:val="single" w:color="000000" w:sz="4" w:space="0"/>
              <w:bottom w:val="single" w:color="000000" w:sz="4" w:space="0"/>
              <w:right w:val="single" w:color="000000" w:sz="4" w:space="0"/>
            </w:tcBorders>
            <w:vAlign w:val="center"/>
          </w:tcPr>
          <w:p w14:paraId="5755DD2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潭江镇、北斗镇、黄金镇、潘田镇、建桥镇、龙岗镇、大龙华镇、砂田镇、八乡山镇、小胜镇</w:t>
            </w:r>
          </w:p>
        </w:tc>
      </w:tr>
      <w:tr w14:paraId="40ACF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119" w:type="dxa"/>
            <w:tcBorders>
              <w:top w:val="single" w:color="000000" w:sz="4" w:space="0"/>
              <w:left w:val="single" w:color="000000" w:sz="4" w:space="0"/>
              <w:bottom w:val="single" w:color="000000" w:sz="4" w:space="0"/>
              <w:right w:val="single" w:color="000000" w:sz="4" w:space="0"/>
            </w:tcBorders>
            <w:vAlign w:val="center"/>
          </w:tcPr>
          <w:p w14:paraId="1AEE624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38.4615万元</w:t>
            </w:r>
            <w:r>
              <w:rPr>
                <w:rFonts w:ascii="Times New Roman" w:hAnsi="Times New Roman" w:eastAsia="仿宋" w:cs="Times New Roman"/>
                <w:kern w:val="0"/>
                <w:sz w:val="28"/>
                <w:szCs w:val="28"/>
                <w:highlight w:val="none"/>
              </w:rPr>
              <w:t>/</w:t>
            </w:r>
            <w:r>
              <w:rPr>
                <w:rFonts w:hint="eastAsia" w:ascii="Times New Roman" w:hAnsi="Times New Roman" w:eastAsia="仿宋" w:cs="Times New Roman"/>
                <w:kern w:val="0"/>
                <w:sz w:val="28"/>
                <w:szCs w:val="28"/>
                <w:highlight w:val="none"/>
              </w:rPr>
              <w:t>亩</w:t>
            </w:r>
          </w:p>
        </w:tc>
        <w:tc>
          <w:tcPr>
            <w:tcW w:w="2850" w:type="dxa"/>
            <w:tcBorders>
              <w:top w:val="single" w:color="000000" w:sz="4" w:space="0"/>
              <w:left w:val="single" w:color="000000" w:sz="4" w:space="0"/>
              <w:bottom w:val="single" w:color="000000" w:sz="4" w:space="0"/>
              <w:right w:val="single" w:color="000000" w:sz="4" w:space="0"/>
            </w:tcBorders>
            <w:vAlign w:val="center"/>
          </w:tcPr>
          <w:p w14:paraId="6B857A0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30.7692万元</w:t>
            </w:r>
            <w:r>
              <w:rPr>
                <w:rFonts w:ascii="Times New Roman" w:hAnsi="Times New Roman" w:eastAsia="仿宋" w:cs="Times New Roman"/>
                <w:kern w:val="0"/>
                <w:sz w:val="28"/>
                <w:szCs w:val="28"/>
                <w:highlight w:val="none"/>
              </w:rPr>
              <w:t>/</w:t>
            </w:r>
            <w:r>
              <w:rPr>
                <w:rFonts w:hint="eastAsia" w:ascii="Times New Roman" w:hAnsi="Times New Roman" w:eastAsia="仿宋" w:cs="Times New Roman"/>
                <w:kern w:val="0"/>
                <w:sz w:val="28"/>
                <w:szCs w:val="28"/>
                <w:highlight w:val="none"/>
              </w:rPr>
              <w:t>亩</w:t>
            </w:r>
          </w:p>
        </w:tc>
        <w:tc>
          <w:tcPr>
            <w:tcW w:w="3312" w:type="dxa"/>
            <w:tcBorders>
              <w:top w:val="single" w:color="000000" w:sz="4" w:space="0"/>
              <w:left w:val="single" w:color="000000" w:sz="4" w:space="0"/>
              <w:bottom w:val="single" w:color="000000" w:sz="4" w:space="0"/>
              <w:right w:val="single" w:color="000000" w:sz="4" w:space="0"/>
            </w:tcBorders>
            <w:vAlign w:val="center"/>
          </w:tcPr>
          <w:p w14:paraId="7E3CC63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26.9231万元</w:t>
            </w:r>
            <w:r>
              <w:rPr>
                <w:rFonts w:ascii="Times New Roman" w:hAnsi="Times New Roman" w:eastAsia="仿宋" w:cs="Times New Roman"/>
                <w:kern w:val="0"/>
                <w:sz w:val="28"/>
                <w:szCs w:val="28"/>
                <w:highlight w:val="none"/>
              </w:rPr>
              <w:t>/</w:t>
            </w:r>
            <w:r>
              <w:rPr>
                <w:rFonts w:hint="eastAsia" w:ascii="Times New Roman" w:hAnsi="Times New Roman" w:eastAsia="仿宋" w:cs="Times New Roman"/>
                <w:kern w:val="0"/>
                <w:sz w:val="28"/>
                <w:szCs w:val="28"/>
                <w:highlight w:val="none"/>
              </w:rPr>
              <w:t>亩</w:t>
            </w:r>
          </w:p>
        </w:tc>
      </w:tr>
    </w:tbl>
    <w:p w14:paraId="50C2C5CA">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0" w:leftChars="0" w:firstLine="560" w:firstLineChars="200"/>
        <w:textAlignment w:val="auto"/>
        <w:rPr>
          <w:rFonts w:hint="eastAsia" w:ascii="Times New Roman" w:hAnsi="Times New Roman" w:eastAsia="仿宋"/>
          <w:kern w:val="0"/>
          <w:sz w:val="28"/>
          <w:szCs w:val="28"/>
          <w:highlight w:val="none"/>
        </w:rPr>
      </w:pPr>
      <w:r>
        <w:rPr>
          <w:rFonts w:hint="eastAsia" w:ascii="Times New Roman" w:hAnsi="Times New Roman" w:eastAsia="仿宋"/>
          <w:kern w:val="0"/>
          <w:sz w:val="28"/>
          <w:szCs w:val="28"/>
          <w:highlight w:val="none"/>
        </w:rPr>
        <w:t>为方便各乡镇开展征收土地计算留用地折算货币补偿款，现将留用地补偿折算到每征收一亩土地的补偿标准如下：一区：50000元/亩、二区：40000元/亩、三区：35000元/亩。</w:t>
      </w:r>
    </w:p>
    <w:p w14:paraId="519E38DA">
      <w:pPr>
        <w:keepNext/>
        <w:keepLines w:val="0"/>
        <w:pageBreakBefore w:val="0"/>
        <w:widowControl w:val="0"/>
        <w:numPr>
          <w:ilvl w:val="0"/>
          <w:numId w:val="0"/>
        </w:numPr>
        <w:kinsoku/>
        <w:wordWrap/>
        <w:overflowPunct/>
        <w:topLinePunct w:val="0"/>
        <w:autoSpaceDE/>
        <w:autoSpaceDN/>
        <w:bidi w:val="0"/>
        <w:adjustRightInd w:val="0"/>
        <w:snapToGrid w:val="0"/>
        <w:spacing w:line="312" w:lineRule="auto"/>
        <w:ind w:firstLine="560" w:firstLineChars="200"/>
        <w:jc w:val="both"/>
        <w:textAlignment w:val="auto"/>
        <w:rPr>
          <w:rFonts w:hint="eastAsia" w:ascii="Times New Roman" w:hAnsi="Times New Roman" w:eastAsia="仿宋"/>
          <w:b/>
          <w:bCs/>
          <w:sz w:val="28"/>
          <w:szCs w:val="28"/>
          <w:highlight w:val="none"/>
          <w:u w:val="none"/>
        </w:rPr>
      </w:pPr>
      <w:r>
        <w:rPr>
          <w:rFonts w:hint="eastAsia" w:ascii="Times New Roman" w:hAnsi="Times New Roman" w:eastAsia="仿宋"/>
          <w:kern w:val="0"/>
          <w:sz w:val="28"/>
          <w:szCs w:val="28"/>
          <w:highlight w:val="none"/>
        </w:rPr>
        <w:t>（</w:t>
      </w:r>
      <w:r>
        <w:rPr>
          <w:rFonts w:hint="eastAsia" w:ascii="Times New Roman" w:hAnsi="Times New Roman" w:eastAsia="仿宋"/>
          <w:kern w:val="0"/>
          <w:sz w:val="28"/>
          <w:szCs w:val="28"/>
          <w:highlight w:val="none"/>
          <w:lang w:val="en-US" w:eastAsia="zh-CN"/>
        </w:rPr>
        <w:t>2</w:t>
      </w:r>
      <w:r>
        <w:rPr>
          <w:rFonts w:hint="eastAsia" w:ascii="Times New Roman" w:hAnsi="Times New Roman" w:eastAsia="仿宋"/>
          <w:kern w:val="0"/>
          <w:sz w:val="28"/>
          <w:szCs w:val="28"/>
          <w:highlight w:val="none"/>
        </w:rPr>
        <w:t>）留用地以置换物业、作价出资（入股）等方式安置的，根据征收项目具体情况另行制定。</w:t>
      </w:r>
    </w:p>
    <w:p w14:paraId="6A70BCA6">
      <w:pPr>
        <w:keepNext w:val="0"/>
        <w:keepLines w:val="0"/>
        <w:pageBreakBefore w:val="0"/>
        <w:widowControl w:val="0"/>
        <w:kinsoku/>
        <w:wordWrap/>
        <w:overflowPunct/>
        <w:topLinePunct w:val="0"/>
        <w:autoSpaceDE/>
        <w:autoSpaceDN/>
        <w:bidi w:val="0"/>
        <w:adjustRightInd w:val="0"/>
        <w:snapToGrid w:val="0"/>
        <w:spacing w:line="312" w:lineRule="auto"/>
        <w:ind w:firstLine="560" w:firstLineChars="200"/>
        <w:textAlignment w:val="auto"/>
        <w:rPr>
          <w:rFonts w:ascii="Times New Roman" w:hAnsi="Times New Roman" w:eastAsia="仿宋" w:cs="Times New Roman"/>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D6D97F58-DD83-4A9F-A94B-85CC1C16928F}"/>
  </w:font>
  <w:font w:name="方正小标宋简体">
    <w:panose1 w:val="02000000000000000000"/>
    <w:charset w:val="86"/>
    <w:family w:val="auto"/>
    <w:pitch w:val="default"/>
    <w:sig w:usb0="00000001" w:usb1="08000000" w:usb2="00000000" w:usb3="00000000" w:csb0="00040000" w:csb1="00000000"/>
    <w:embedRegular r:id="rId2" w:fontKey="{EF56CD8E-3FC9-47E1-8CB5-0F57B0B0978C}"/>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4138336"/>
      <w:docPartObj>
        <w:docPartGallery w:val="autotext"/>
      </w:docPartObj>
    </w:sdtPr>
    <w:sdtContent>
      <w:p w14:paraId="371FBB59">
        <w:pPr>
          <w:pStyle w:val="3"/>
          <w:jc w:val="center"/>
        </w:pPr>
        <w:r>
          <w:fldChar w:fldCharType="begin"/>
        </w:r>
        <w:r>
          <w:instrText xml:space="preserve"> PAGE   \* MERGEFORMAT </w:instrText>
        </w:r>
        <w:r>
          <w:fldChar w:fldCharType="separate"/>
        </w:r>
        <w:r>
          <w:rPr>
            <w:lang w:val="zh-CN"/>
          </w:rPr>
          <w:t>3</w:t>
        </w:r>
        <w:r>
          <w:rPr>
            <w:lang w:val="zh-CN"/>
          </w:rPr>
          <w:fldChar w:fldCharType="end"/>
        </w:r>
      </w:p>
    </w:sdtContent>
  </w:sdt>
  <w:p w14:paraId="31561ECC">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E33FD"/>
    <w:multiLevelType w:val="singleLevel"/>
    <w:tmpl w:val="A77E33FD"/>
    <w:lvl w:ilvl="0" w:tentative="0">
      <w:start w:val="1"/>
      <w:numFmt w:val="decimal"/>
      <w:suff w:val="space"/>
      <w:lvlText w:val="%1."/>
      <w:lvlJc w:val="left"/>
    </w:lvl>
  </w:abstractNum>
  <w:abstractNum w:abstractNumId="1">
    <w:nsid w:val="EE923FC3"/>
    <w:multiLevelType w:val="singleLevel"/>
    <w:tmpl w:val="EE923FC3"/>
    <w:lvl w:ilvl="0" w:tentative="0">
      <w:start w:val="1"/>
      <w:numFmt w:val="decimal"/>
      <w:suff w:val="space"/>
      <w:lvlText w:val="%1."/>
      <w:lvlJc w:val="left"/>
    </w:lvl>
  </w:abstractNum>
  <w:abstractNum w:abstractNumId="2">
    <w:nsid w:val="78E80A87"/>
    <w:multiLevelType w:val="singleLevel"/>
    <w:tmpl w:val="78E80A87"/>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DA1OTJlNzdkNTY1MjYxNzVkNDIwMTVjNmZmOTUifQ=="/>
  </w:docVars>
  <w:rsids>
    <w:rsidRoot w:val="7C3C4B42"/>
    <w:rsid w:val="00360206"/>
    <w:rsid w:val="004A701B"/>
    <w:rsid w:val="005857E6"/>
    <w:rsid w:val="00861540"/>
    <w:rsid w:val="008822B1"/>
    <w:rsid w:val="00BF45B2"/>
    <w:rsid w:val="00CC4B97"/>
    <w:rsid w:val="00E038FF"/>
    <w:rsid w:val="00E14006"/>
    <w:rsid w:val="00F93ACD"/>
    <w:rsid w:val="04D7187F"/>
    <w:rsid w:val="09281478"/>
    <w:rsid w:val="12E05D00"/>
    <w:rsid w:val="17971FAD"/>
    <w:rsid w:val="2C99771A"/>
    <w:rsid w:val="2E5D389C"/>
    <w:rsid w:val="2F733CA5"/>
    <w:rsid w:val="30742C3E"/>
    <w:rsid w:val="3E1341BA"/>
    <w:rsid w:val="4C5C75F0"/>
    <w:rsid w:val="4E18677F"/>
    <w:rsid w:val="4E676345"/>
    <w:rsid w:val="4FD61243"/>
    <w:rsid w:val="52624C16"/>
    <w:rsid w:val="64377154"/>
    <w:rsid w:val="67D05295"/>
    <w:rsid w:val="7C3C4B42"/>
    <w:rsid w:val="7CFE62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autoSpaceDE w:val="0"/>
      <w:autoSpaceDN w:val="0"/>
      <w:spacing w:before="54"/>
      <w:ind w:left="1080"/>
      <w:jc w:val="left"/>
      <w:outlineLvl w:val="0"/>
    </w:pPr>
    <w:rPr>
      <w:rFonts w:ascii="仿宋_GB2312" w:hAnsi="仿宋_GB2312" w:eastAsia="仿宋_GB2312" w:cs="仿宋_GB2312"/>
      <w:b/>
      <w:bCs/>
      <w:kern w:val="0"/>
      <w:sz w:val="32"/>
      <w:szCs w:val="32"/>
      <w:lang w:val="zh-CN" w:bidi="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县国土局</Company>
  <Pages>5</Pages>
  <Words>3061</Words>
  <Characters>3261</Characters>
  <Lines>9</Lines>
  <Paragraphs>2</Paragraphs>
  <TotalTime>18</TotalTime>
  <ScaleCrop>false</ScaleCrop>
  <LinksUpToDate>false</LinksUpToDate>
  <CharactersWithSpaces>3263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2023-11-16T13:56:00Z</dcterms:created>
  <dc:creator>超儿</dc:creator>
  <cp:lastModifiedBy>Y</cp:lastModifiedBy>
  <dcterms:modified xsi:type="dcterms:W3CDTF">2026-08-07T07:56:30Z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86070E8764C449AFAD1AB2EFCE728DAE_13</vt:lpwstr>
  </property>
  <property fmtid="{D5CDD505-2E9C-101B-9397-08002B2CF9AE}" pid="4" name="KSOTemplateDocerSaveRecord">
    <vt:lpwstr>eyJoZGlkIjoiZTMwZTcxNjJjZjA2MjYyZWNkNzRkNTIwMWEzYWZlODQiLCJ1c2VySWQiOiIyMDEyMzUwMTMifQ==</vt:lpwstr>
  </property>
</Properties>
</file>