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center"/>
        <w:rPr>
          <w:rFonts w:hint="eastAsia" w:asciiTheme="majorEastAsia" w:hAnsiTheme="majorEastAsia" w:eastAsiaTheme="majorEastAsia"/>
          <w:b/>
          <w:sz w:val="44"/>
          <w:szCs w:val="44"/>
        </w:rPr>
      </w:pPr>
    </w:p>
    <w:p>
      <w:pPr>
        <w:widowControl/>
        <w:jc w:val="right"/>
        <w:rPr>
          <w:rFonts w:hint="eastAsia" w:asciiTheme="minorEastAsia" w:hAnsiTheme="minorEastAsia" w:eastAsiaTheme="minorEastAsia" w:cstheme="minorEastAsia"/>
          <w:b/>
          <w:sz w:val="28"/>
          <w:szCs w:val="28"/>
          <w:lang w:val="en-US" w:eastAsia="zh-CN"/>
        </w:rPr>
      </w:pPr>
      <w:r>
        <w:rPr>
          <w:rFonts w:hint="eastAsia" w:asciiTheme="minorEastAsia" w:hAnsiTheme="minorEastAsia" w:eastAsiaTheme="minorEastAsia" w:cstheme="minorEastAsia"/>
          <w:b/>
          <w:sz w:val="28"/>
          <w:szCs w:val="28"/>
          <w:lang w:val="en-US" w:eastAsia="zh-CN"/>
        </w:rPr>
        <w:t>FBGS-2018-001</w:t>
      </w:r>
    </w:p>
    <w:p>
      <w:pPr>
        <w:widowControl/>
        <w:jc w:val="both"/>
        <w:rPr>
          <w:rFonts w:hint="eastAsia" w:ascii="宋体" w:hAnsi="宋体"/>
          <w:b/>
          <w:color w:val="FF0000"/>
          <w:spacing w:val="-20"/>
          <w:sz w:val="120"/>
          <w:szCs w:val="120"/>
          <w:lang w:eastAsia="zh-CN"/>
        </w:rPr>
      </w:pPr>
    </w:p>
    <w:p>
      <w:pPr>
        <w:widowControl/>
        <w:jc w:val="both"/>
        <w:rPr>
          <w:rFonts w:hint="eastAsia" w:ascii="宋体" w:hAnsi="宋体" w:eastAsiaTheme="minorEastAsia"/>
          <w:b/>
          <w:color w:val="FF0000"/>
          <w:spacing w:val="-20"/>
          <w:sz w:val="44"/>
          <w:szCs w:val="44"/>
          <w:lang w:eastAsia="zh-CN"/>
        </w:rPr>
      </w:pPr>
      <w:r>
        <w:rPr>
          <w:rFonts w:hint="eastAsia" w:ascii="宋体" w:hAnsi="宋体"/>
          <w:b/>
          <w:color w:val="FF0000"/>
          <w:spacing w:val="-20"/>
          <w:sz w:val="120"/>
          <w:szCs w:val="120"/>
          <w:lang w:eastAsia="zh-CN"/>
          <w:eastAsianLayout w:id="1" w:combine="1"/>
        </w:rPr>
        <w:t>丰 顺 县 发 展 和 改 革 局丰顺县住房和城乡规划建设局</w:t>
      </w:r>
      <w:r>
        <w:rPr>
          <w:rFonts w:hint="eastAsia" w:ascii="宋体" w:hAnsi="宋体"/>
          <w:b/>
          <w:color w:val="FF0000"/>
          <w:spacing w:val="-20"/>
          <w:sz w:val="72"/>
          <w:szCs w:val="72"/>
          <w:lang w:eastAsia="zh-CN"/>
        </w:rPr>
        <w:t>文件</w:t>
      </w:r>
    </w:p>
    <w:p>
      <w:pPr>
        <w:widowControl/>
        <w:jc w:val="center"/>
        <w:rPr>
          <w:rFonts w:hint="eastAsia" w:ascii="宋体" w:hAnsi="宋体"/>
          <w:b/>
          <w:spacing w:val="-20"/>
          <w:sz w:val="44"/>
          <w:szCs w:val="44"/>
        </w:rPr>
      </w:pPr>
    </w:p>
    <w:p>
      <w:pPr>
        <w:widowControl/>
        <w:jc w:val="center"/>
        <w:rPr>
          <w:rFonts w:hint="eastAsia" w:ascii="仿宋_GB2312" w:hAnsi="仿宋_GB2312" w:eastAsia="仿宋_GB2312" w:cs="仿宋_GB2312"/>
          <w:b w:val="0"/>
          <w:bCs/>
          <w:spacing w:val="-20"/>
          <w:sz w:val="32"/>
          <w:szCs w:val="32"/>
          <w:u w:val="none"/>
          <w:lang w:val="en-US" w:eastAsia="zh-CN"/>
        </w:rPr>
      </w:pPr>
      <w:r>
        <w:rPr>
          <w:rFonts w:hint="eastAsia" w:ascii="仿宋_GB2312" w:hAnsi="仿宋_GB2312" w:eastAsia="仿宋_GB2312" w:cs="仿宋_GB2312"/>
          <w:b w:val="0"/>
          <w:bCs/>
          <w:spacing w:val="-20"/>
          <w:sz w:val="32"/>
          <w:szCs w:val="32"/>
          <w:u w:val="none"/>
          <w:lang w:val="en-US" w:eastAsia="zh-CN"/>
        </w:rPr>
        <w:t>丰发改价格〔2018〕2号</w:t>
      </w:r>
    </w:p>
    <w:p>
      <w:pPr>
        <w:widowControl/>
        <w:jc w:val="left"/>
        <w:rPr>
          <w:rFonts w:hint="eastAsia" w:ascii="黑体" w:hAnsi="黑体" w:eastAsia="黑体" w:cs="黑体"/>
          <w:b/>
          <w:bCs w:val="0"/>
          <w:spacing w:val="-20"/>
          <w:sz w:val="44"/>
          <w:szCs w:val="44"/>
          <w:u w:val="single"/>
          <w:lang w:val="en-US" w:eastAsia="zh-CN"/>
        </w:rPr>
      </w:pPr>
      <w:r>
        <w:rPr>
          <w:rFonts w:hint="eastAsia" w:ascii="黑体" w:hAnsi="黑体" w:eastAsia="黑体" w:cs="黑体"/>
          <w:b/>
          <w:bCs w:val="0"/>
          <w:spacing w:val="-20"/>
          <w:sz w:val="44"/>
          <w:szCs w:val="44"/>
          <w:u w:val="single"/>
          <w:lang w:val="en-US" w:eastAsia="zh-CN"/>
        </w:rPr>
        <w:t xml:space="preserve">                                                   </w:t>
      </w:r>
    </w:p>
    <w:p>
      <w:pPr>
        <w:widowControl/>
        <w:jc w:val="center"/>
        <w:rPr>
          <w:rFonts w:hint="eastAsia" w:ascii="宋体" w:hAnsi="宋体"/>
          <w:b/>
          <w:spacing w:val="-20"/>
          <w:sz w:val="44"/>
          <w:szCs w:val="44"/>
        </w:rPr>
      </w:pPr>
    </w:p>
    <w:p>
      <w:pPr>
        <w:widowControl/>
        <w:jc w:val="center"/>
        <w:rPr>
          <w:rFonts w:hint="eastAsia" w:ascii="宋体" w:hAnsi="宋体"/>
          <w:b/>
          <w:spacing w:val="-20"/>
          <w:sz w:val="44"/>
          <w:szCs w:val="44"/>
        </w:rPr>
      </w:pPr>
      <w:r>
        <w:rPr>
          <w:rFonts w:hint="eastAsia" w:ascii="宋体" w:hAnsi="宋体"/>
          <w:b/>
          <w:spacing w:val="-20"/>
          <w:sz w:val="44"/>
          <w:szCs w:val="44"/>
        </w:rPr>
        <w:t>关于调整丰顺县住宅物业服务收费政府指导价</w:t>
      </w:r>
    </w:p>
    <w:p>
      <w:pPr>
        <w:widowControl/>
        <w:jc w:val="center"/>
        <w:rPr>
          <w:rFonts w:hint="eastAsia" w:ascii="仿宋_GB2312"/>
          <w:sz w:val="36"/>
          <w:szCs w:val="36"/>
        </w:rPr>
      </w:pPr>
      <w:r>
        <w:rPr>
          <w:rFonts w:hint="eastAsia" w:ascii="宋体" w:hAnsi="宋体"/>
          <w:b/>
          <w:spacing w:val="-20"/>
          <w:sz w:val="44"/>
          <w:szCs w:val="44"/>
        </w:rPr>
        <w:t>和加强物业服务收费管理的通知（试行）</w:t>
      </w:r>
    </w:p>
    <w:p>
      <w:pPr>
        <w:spacing w:line="660" w:lineRule="exact"/>
        <w:ind w:firstLine="640" w:firstLineChars="200"/>
        <w:jc w:val="left"/>
        <w:rPr>
          <w:rFonts w:hint="eastAsia" w:ascii="仿宋_GB2312" w:hAnsi="仿宋_GB2312" w:eastAsia="仿宋_GB2312" w:cs="仿宋_GB2312"/>
          <w:sz w:val="32"/>
          <w:szCs w:val="32"/>
        </w:rPr>
      </w:pPr>
    </w:p>
    <w:p>
      <w:pPr>
        <w:keepNext w:val="0"/>
        <w:keepLines w:val="0"/>
        <w:pageBreakBefore w:val="0"/>
        <w:kinsoku/>
        <w:wordWrap/>
        <w:overflowPunct/>
        <w:topLinePunct w:val="0"/>
        <w:autoSpaceDE/>
        <w:autoSpaceDN/>
        <w:bidi w:val="0"/>
        <w:adjustRightInd/>
        <w:snapToGrid/>
        <w:spacing w:line="560" w:lineRule="exact"/>
        <w:jc w:val="left"/>
        <w:textAlignment w:val="auto"/>
        <w:outlineLvl w:val="9"/>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县直有关单位：</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为规范丰顺县物业服务收费管理，保障业主和物业服务企业的合法权益，根据中华人民共和国《价格法》、《物权法》、《广东省物业管理条例》、《广东省定价目录（2018年版）》（粤府办[2018]11号）等有关法律法规，按照管理权限和《梅州市物价局 梅州市住房和城乡建设局关于重新修订梅州市物业服务收费管理办法的通知》（梅市价【2014】45号），结合我县实际，现就我县物业服务类别划分、物业服务收费指导价标准和加强我县物业收费管理有关问题通知如下：</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一、物业服务收费根据不同物业的性质和特点，分别实行政府指导价和市场调节价。</w:t>
      </w:r>
    </w:p>
    <w:p>
      <w:pPr>
        <w:keepNext w:val="0"/>
        <w:keepLines w:val="0"/>
        <w:pageBreakBefore w:val="0"/>
        <w:widowControl/>
        <w:kinsoku/>
        <w:wordWrap/>
        <w:overflowPunct/>
        <w:topLinePunct w:val="0"/>
        <w:autoSpaceDE/>
        <w:autoSpaceDN/>
        <w:bidi w:val="0"/>
        <w:adjustRightInd/>
        <w:snapToGrid/>
        <w:spacing w:line="560" w:lineRule="exact"/>
        <w:ind w:firstLine="640" w:firstLineChars="200"/>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sz w:val="32"/>
          <w:szCs w:val="32"/>
        </w:rPr>
        <w:t>（一）业主大会（业主委员会）成立之前的住宅（含业主自有产权或取得使用权的车位、车库）物业服务收费实行政府指导价，具体物业服务收费标准由建设单位（业主）与物业服务企业根据住建部门核定的住宅物业服务类别，在指导价范围内可</w:t>
      </w:r>
      <w:r>
        <w:rPr>
          <w:rFonts w:hint="eastAsia" w:ascii="仿宋_GB2312" w:hAnsi="仿宋_GB2312" w:eastAsia="仿宋_GB2312" w:cs="仿宋_GB2312"/>
          <w:color w:val="000000"/>
          <w:sz w:val="32"/>
          <w:szCs w:val="32"/>
        </w:rPr>
        <w:t>上下浮动20%</w:t>
      </w:r>
      <w:r>
        <w:rPr>
          <w:rFonts w:hint="eastAsia" w:ascii="仿宋_GB2312" w:hAnsi="仿宋_GB2312" w:eastAsia="仿宋_GB2312" w:cs="仿宋_GB2312"/>
          <w:sz w:val="32"/>
          <w:szCs w:val="32"/>
        </w:rPr>
        <w:t>共同约定，并实行备案管理。物业服务收费由物业服务企业向所属地价格主管部门申请备案，价格主管部门受理物业服务收费备案申请后，对符合规定，同意备案的，应在7个工作日内出具备案文书。对不符合规定的，不予备案，并说明理由。物业服务企业应当严格按照已备案的物业服务收费标准执行。</w:t>
      </w:r>
    </w:p>
    <w:p>
      <w:pPr>
        <w:keepNext w:val="0"/>
        <w:keepLines w:val="0"/>
        <w:pageBreakBefore w:val="0"/>
        <w:widowControl/>
        <w:kinsoku/>
        <w:wordWrap/>
        <w:overflowPunct/>
        <w:topLinePunct w:val="0"/>
        <w:autoSpaceDE/>
        <w:autoSpaceDN/>
        <w:bidi w:val="0"/>
        <w:adjustRightInd/>
        <w:snapToGrid/>
        <w:spacing w:line="560" w:lineRule="exact"/>
        <w:ind w:firstLine="646"/>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二）别墅、业主大会（业主委员会）成立之后的住宅（含业主自有产权或取得使用权的车位、车库）及其它非住宅物业服务收费实行市场调节价，其收费项目和标准由业主大会（业主委员会）与物业服务企业共同协商约定，并签订物业服务合同。</w:t>
      </w:r>
    </w:p>
    <w:p>
      <w:pPr>
        <w:keepNext w:val="0"/>
        <w:keepLines w:val="0"/>
        <w:pageBreakBefore w:val="0"/>
        <w:widowControl/>
        <w:kinsoku/>
        <w:wordWrap/>
        <w:overflowPunct/>
        <w:topLinePunct w:val="0"/>
        <w:autoSpaceDE/>
        <w:autoSpaceDN/>
        <w:bidi w:val="0"/>
        <w:adjustRightInd/>
        <w:snapToGrid/>
        <w:spacing w:line="560" w:lineRule="exact"/>
        <w:ind w:firstLine="646"/>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二、物业服务类别划分：具体见文件附件一（丰顺县住宅物业服务类别参考标准）。</w:t>
      </w:r>
    </w:p>
    <w:p>
      <w:pPr>
        <w:keepNext w:val="0"/>
        <w:keepLines w:val="0"/>
        <w:pageBreakBefore w:val="0"/>
        <w:widowControl/>
        <w:kinsoku/>
        <w:wordWrap/>
        <w:overflowPunct/>
        <w:topLinePunct w:val="0"/>
        <w:autoSpaceDE/>
        <w:autoSpaceDN/>
        <w:bidi w:val="0"/>
        <w:adjustRightInd/>
        <w:snapToGrid/>
        <w:spacing w:line="560" w:lineRule="exact"/>
        <w:ind w:firstLine="646"/>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三、实行政府指导价的物业服务收费标准。</w:t>
      </w:r>
    </w:p>
    <w:p>
      <w:pPr>
        <w:keepNext w:val="0"/>
        <w:keepLines w:val="0"/>
        <w:pageBreakBefore w:val="0"/>
        <w:widowControl/>
        <w:kinsoku/>
        <w:wordWrap/>
        <w:overflowPunct/>
        <w:topLinePunct w:val="0"/>
        <w:autoSpaceDE/>
        <w:autoSpaceDN/>
        <w:bidi w:val="0"/>
        <w:adjustRightInd/>
        <w:snapToGrid/>
        <w:spacing w:line="560" w:lineRule="exact"/>
        <w:ind w:firstLine="646"/>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丰顺县住宅物业服务收费（含自有产权或取得使用权的车库、车位），依据服务水平与服务收费相适应的原则，分为如下四类物业服务内容和收费标准：</w:t>
      </w:r>
    </w:p>
    <w:p>
      <w:pPr>
        <w:keepNext w:val="0"/>
        <w:keepLines w:val="0"/>
        <w:pageBreakBefore w:val="0"/>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p>
    <w:p>
      <w:pPr>
        <w:keepNext w:val="0"/>
        <w:keepLines w:val="0"/>
        <w:pageBreakBefore w:val="0"/>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p>
    <w:p>
      <w:pPr>
        <w:keepNext w:val="0"/>
        <w:keepLines w:val="0"/>
        <w:pageBreakBefore w:val="0"/>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p>
    <w:p>
      <w:pPr>
        <w:keepNext w:val="0"/>
        <w:keepLines w:val="0"/>
        <w:pageBreakBefore w:val="0"/>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丰顺县住宅物业服务收费政府指导价标准</w:t>
      </w:r>
    </w:p>
    <w:tbl>
      <w:tblPr>
        <w:tblStyle w:val="3"/>
        <w:tblpPr w:leftFromText="180" w:rightFromText="180" w:vertAnchor="text" w:horzAnchor="page" w:tblpX="1972" w:tblpY="392"/>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0"/>
        <w:gridCol w:w="1151"/>
        <w:gridCol w:w="1351"/>
        <w:gridCol w:w="1418"/>
        <w:gridCol w:w="1984"/>
        <w:gridCol w:w="1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0" w:hRule="atLeast"/>
        </w:trPr>
        <w:tc>
          <w:tcPr>
            <w:tcW w:w="2301" w:type="dxa"/>
            <w:gridSpan w:val="2"/>
            <w:vMerge w:val="restart"/>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color w:val="313131"/>
                <w:kern w:val="0"/>
                <w:sz w:val="32"/>
                <w:szCs w:val="32"/>
              </w:rPr>
              <w:t>服 务 等 级</w:t>
            </w:r>
          </w:p>
        </w:tc>
        <w:tc>
          <w:tcPr>
            <w:tcW w:w="2769" w:type="dxa"/>
            <w:gridSpan w:val="2"/>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color w:val="313131"/>
                <w:kern w:val="0"/>
                <w:sz w:val="32"/>
                <w:szCs w:val="32"/>
              </w:rPr>
              <w:t>基准价</w:t>
            </w:r>
            <w:r>
              <w:rPr>
                <w:rFonts w:hint="eastAsia" w:ascii="仿宋_GB2312" w:hAnsi="仿宋_GB2312" w:eastAsia="仿宋_GB2312" w:cs="仿宋_GB2312"/>
                <w:b/>
                <w:color w:val="313131"/>
                <w:kern w:val="0"/>
                <w:sz w:val="32"/>
                <w:szCs w:val="32"/>
              </w:rPr>
              <w:t>（元/</w:t>
            </w:r>
            <w:r>
              <w:rPr>
                <w:rFonts w:hint="eastAsia" w:ascii="仿宋_GB2312" w:hAnsi="仿宋_GB2312" w:eastAsia="仿宋_GB2312" w:cs="仿宋_GB2312"/>
                <w:b/>
                <w:sz w:val="32"/>
                <w:szCs w:val="32"/>
              </w:rPr>
              <w:t>㎡·月</w:t>
            </w:r>
            <w:r>
              <w:rPr>
                <w:rFonts w:hint="eastAsia" w:ascii="仿宋_GB2312" w:hAnsi="仿宋_GB2312" w:eastAsia="仿宋_GB2312" w:cs="仿宋_GB2312"/>
                <w:b/>
                <w:color w:val="313131"/>
                <w:kern w:val="0"/>
                <w:sz w:val="32"/>
                <w:szCs w:val="32"/>
              </w:rPr>
              <w:t>）</w:t>
            </w:r>
          </w:p>
        </w:tc>
        <w:tc>
          <w:tcPr>
            <w:tcW w:w="1984" w:type="dxa"/>
            <w:vMerge w:val="restart"/>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自有产权或取得</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使用权的</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车库、车位(月·位)</w:t>
            </w:r>
          </w:p>
        </w:tc>
        <w:tc>
          <w:tcPr>
            <w:tcW w:w="1468" w:type="dxa"/>
            <w:vMerge w:val="restart"/>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上下浮动</w:t>
            </w:r>
          </w:p>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sz w:val="32"/>
                <w:szCs w:val="32"/>
              </w:rPr>
            </w:pPr>
            <w:r>
              <w:rPr>
                <w:rFonts w:hint="eastAsia" w:ascii="仿宋_GB2312" w:hAnsi="仿宋_GB2312" w:eastAsia="仿宋_GB2312" w:cs="仿宋_GB2312"/>
                <w:b/>
                <w:bCs/>
                <w:sz w:val="32"/>
                <w:szCs w:val="32"/>
              </w:rPr>
              <w:t>幅 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1" w:hRule="atLeast"/>
        </w:trPr>
        <w:tc>
          <w:tcPr>
            <w:tcW w:w="2301" w:type="dxa"/>
            <w:gridSpan w:val="2"/>
            <w:vMerge w:val="continue"/>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outlineLvl w:val="9"/>
              <w:rPr>
                <w:rFonts w:hint="eastAsia" w:ascii="仿宋_GB2312" w:hAnsi="仿宋_GB2312" w:eastAsia="仿宋_GB2312" w:cs="仿宋_GB2312"/>
                <w:bCs/>
                <w:sz w:val="32"/>
                <w:szCs w:val="32"/>
              </w:rPr>
            </w:pPr>
          </w:p>
        </w:tc>
        <w:tc>
          <w:tcPr>
            <w:tcW w:w="13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color w:val="313131"/>
                <w:kern w:val="0"/>
                <w:sz w:val="32"/>
                <w:szCs w:val="32"/>
              </w:rPr>
            </w:pPr>
            <w:r>
              <w:rPr>
                <w:rFonts w:hint="eastAsia" w:ascii="仿宋_GB2312" w:hAnsi="仿宋_GB2312" w:eastAsia="仿宋_GB2312" w:cs="仿宋_GB2312"/>
                <w:b/>
                <w:bCs/>
                <w:color w:val="313131"/>
                <w:kern w:val="0"/>
                <w:sz w:val="32"/>
                <w:szCs w:val="32"/>
              </w:rPr>
              <w:t>非电梯房</w:t>
            </w:r>
          </w:p>
        </w:tc>
        <w:tc>
          <w:tcPr>
            <w:tcW w:w="141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color w:val="313131"/>
                <w:kern w:val="0"/>
                <w:sz w:val="32"/>
                <w:szCs w:val="32"/>
              </w:rPr>
            </w:pPr>
            <w:r>
              <w:rPr>
                <w:rFonts w:hint="eastAsia" w:ascii="仿宋_GB2312" w:hAnsi="仿宋_GB2312" w:eastAsia="仿宋_GB2312" w:cs="仿宋_GB2312"/>
                <w:b/>
                <w:bCs/>
                <w:color w:val="313131"/>
                <w:kern w:val="0"/>
                <w:sz w:val="32"/>
                <w:szCs w:val="32"/>
              </w:rPr>
              <w:t>电梯房</w:t>
            </w:r>
          </w:p>
        </w:tc>
        <w:tc>
          <w:tcPr>
            <w:tcW w:w="1984" w:type="dxa"/>
            <w:vMerge w:val="continue"/>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outlineLvl w:val="9"/>
              <w:rPr>
                <w:rFonts w:hint="eastAsia" w:ascii="仿宋_GB2312" w:hAnsi="仿宋_GB2312" w:eastAsia="仿宋_GB2312" w:cs="仿宋_GB2312"/>
                <w:bCs/>
                <w:sz w:val="32"/>
                <w:szCs w:val="32"/>
              </w:rPr>
            </w:pPr>
          </w:p>
        </w:tc>
        <w:tc>
          <w:tcPr>
            <w:tcW w:w="1468" w:type="dxa"/>
            <w:vMerge w:val="continue"/>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outlineLvl w:val="9"/>
              <w:rPr>
                <w:rFonts w:hint="eastAsia" w:ascii="仿宋_GB2312" w:hAnsi="仿宋_GB2312" w:eastAsia="仿宋_GB2312" w:cs="仿宋_GB2312"/>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6" w:hRule="atLeast"/>
        </w:trPr>
        <w:tc>
          <w:tcPr>
            <w:tcW w:w="1150" w:type="dxa"/>
            <w:vMerge w:val="restart"/>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一类</w:t>
            </w:r>
          </w:p>
        </w:tc>
        <w:tc>
          <w:tcPr>
            <w:tcW w:w="11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A级</w:t>
            </w:r>
          </w:p>
        </w:tc>
        <w:tc>
          <w:tcPr>
            <w:tcW w:w="13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0.70</w:t>
            </w:r>
          </w:p>
        </w:tc>
        <w:tc>
          <w:tcPr>
            <w:tcW w:w="141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1.40</w:t>
            </w:r>
          </w:p>
        </w:tc>
        <w:tc>
          <w:tcPr>
            <w:tcW w:w="1984"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40</w:t>
            </w:r>
          </w:p>
        </w:tc>
        <w:tc>
          <w:tcPr>
            <w:tcW w:w="146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6" w:hRule="atLeast"/>
        </w:trPr>
        <w:tc>
          <w:tcPr>
            <w:tcW w:w="1150" w:type="dxa"/>
            <w:vMerge w:val="continue"/>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outlineLvl w:val="9"/>
              <w:rPr>
                <w:rFonts w:hint="eastAsia" w:ascii="仿宋_GB2312" w:hAnsi="仿宋_GB2312" w:eastAsia="仿宋_GB2312" w:cs="仿宋_GB2312"/>
                <w:sz w:val="32"/>
                <w:szCs w:val="32"/>
              </w:rPr>
            </w:pPr>
          </w:p>
        </w:tc>
        <w:tc>
          <w:tcPr>
            <w:tcW w:w="11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B级</w:t>
            </w:r>
          </w:p>
        </w:tc>
        <w:tc>
          <w:tcPr>
            <w:tcW w:w="13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0.65</w:t>
            </w:r>
          </w:p>
        </w:tc>
        <w:tc>
          <w:tcPr>
            <w:tcW w:w="141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1.30</w:t>
            </w:r>
          </w:p>
        </w:tc>
        <w:tc>
          <w:tcPr>
            <w:tcW w:w="1984"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40</w:t>
            </w:r>
          </w:p>
        </w:tc>
        <w:tc>
          <w:tcPr>
            <w:tcW w:w="146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5" w:hRule="atLeast"/>
        </w:trPr>
        <w:tc>
          <w:tcPr>
            <w:tcW w:w="1150" w:type="dxa"/>
            <w:vMerge w:val="restart"/>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二类</w:t>
            </w:r>
          </w:p>
        </w:tc>
        <w:tc>
          <w:tcPr>
            <w:tcW w:w="11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A级</w:t>
            </w:r>
          </w:p>
        </w:tc>
        <w:tc>
          <w:tcPr>
            <w:tcW w:w="13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0.60</w:t>
            </w:r>
          </w:p>
        </w:tc>
        <w:tc>
          <w:tcPr>
            <w:tcW w:w="141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1.20</w:t>
            </w:r>
          </w:p>
        </w:tc>
        <w:tc>
          <w:tcPr>
            <w:tcW w:w="1984"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30</w:t>
            </w:r>
          </w:p>
        </w:tc>
        <w:tc>
          <w:tcPr>
            <w:tcW w:w="146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atLeast"/>
        </w:trPr>
        <w:tc>
          <w:tcPr>
            <w:tcW w:w="1150" w:type="dxa"/>
            <w:vMerge w:val="continue"/>
            <w:vAlign w:val="center"/>
          </w:tcPr>
          <w:p>
            <w:pPr>
              <w:keepNext w:val="0"/>
              <w:keepLines w:val="0"/>
              <w:pageBreakBefore w:val="0"/>
              <w:widowControl/>
              <w:kinsoku/>
              <w:wordWrap/>
              <w:overflowPunct/>
              <w:topLinePunct w:val="0"/>
              <w:autoSpaceDE/>
              <w:autoSpaceDN/>
              <w:bidi w:val="0"/>
              <w:adjustRightInd/>
              <w:snapToGrid/>
              <w:spacing w:line="560" w:lineRule="exact"/>
              <w:jc w:val="left"/>
              <w:textAlignment w:val="auto"/>
              <w:outlineLvl w:val="9"/>
              <w:rPr>
                <w:rFonts w:hint="eastAsia" w:ascii="仿宋_GB2312" w:hAnsi="仿宋_GB2312" w:eastAsia="仿宋_GB2312" w:cs="仿宋_GB2312"/>
                <w:sz w:val="32"/>
                <w:szCs w:val="32"/>
              </w:rPr>
            </w:pPr>
          </w:p>
        </w:tc>
        <w:tc>
          <w:tcPr>
            <w:tcW w:w="11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B级</w:t>
            </w:r>
          </w:p>
        </w:tc>
        <w:tc>
          <w:tcPr>
            <w:tcW w:w="13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0.55</w:t>
            </w:r>
          </w:p>
        </w:tc>
        <w:tc>
          <w:tcPr>
            <w:tcW w:w="141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1.10</w:t>
            </w:r>
          </w:p>
        </w:tc>
        <w:tc>
          <w:tcPr>
            <w:tcW w:w="1984"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30</w:t>
            </w:r>
          </w:p>
        </w:tc>
        <w:tc>
          <w:tcPr>
            <w:tcW w:w="146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5" w:hRule="atLeast"/>
        </w:trPr>
        <w:tc>
          <w:tcPr>
            <w:tcW w:w="1150"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三类</w:t>
            </w:r>
          </w:p>
        </w:tc>
        <w:tc>
          <w:tcPr>
            <w:tcW w:w="11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p>
        </w:tc>
        <w:tc>
          <w:tcPr>
            <w:tcW w:w="13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0.50</w:t>
            </w:r>
          </w:p>
        </w:tc>
        <w:tc>
          <w:tcPr>
            <w:tcW w:w="141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1.00</w:t>
            </w:r>
          </w:p>
        </w:tc>
        <w:tc>
          <w:tcPr>
            <w:tcW w:w="1984"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25</w:t>
            </w:r>
          </w:p>
        </w:tc>
        <w:tc>
          <w:tcPr>
            <w:tcW w:w="146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1" w:hRule="atLeast"/>
        </w:trPr>
        <w:tc>
          <w:tcPr>
            <w:tcW w:w="1150"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四类</w:t>
            </w:r>
          </w:p>
        </w:tc>
        <w:tc>
          <w:tcPr>
            <w:tcW w:w="11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p>
        </w:tc>
        <w:tc>
          <w:tcPr>
            <w:tcW w:w="1351"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0.45</w:t>
            </w:r>
          </w:p>
        </w:tc>
        <w:tc>
          <w:tcPr>
            <w:tcW w:w="141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0.90</w:t>
            </w:r>
          </w:p>
        </w:tc>
        <w:tc>
          <w:tcPr>
            <w:tcW w:w="1984"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w:t>
            </w:r>
          </w:p>
        </w:tc>
        <w:tc>
          <w:tcPr>
            <w:tcW w:w="1468" w:type="dxa"/>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38" w:hRule="atLeast"/>
        </w:trPr>
        <w:tc>
          <w:tcPr>
            <w:tcW w:w="8522" w:type="dxa"/>
            <w:gridSpan w:val="6"/>
            <w:vAlign w:val="center"/>
          </w:tcPr>
          <w:p>
            <w:pPr>
              <w:keepNext w:val="0"/>
              <w:keepLines w:val="0"/>
              <w:pageBreakBefore w:val="0"/>
              <w:kinsoku/>
              <w:wordWrap/>
              <w:overflowPunct/>
              <w:topLinePunct w:val="0"/>
              <w:autoSpaceDE/>
              <w:autoSpaceDN/>
              <w:bidi w:val="0"/>
              <w:adjustRightInd/>
              <w:snapToGrid/>
              <w:spacing w:line="560" w:lineRule="exact"/>
              <w:ind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备注：住宅小区内业主自有产权或取得使用权的车位（车库）收取物业服务费后，物业服务企业不得另外重复收取车辆停放保管服务费。</w:t>
            </w:r>
          </w:p>
        </w:tc>
      </w:tr>
    </w:tbl>
    <w:p>
      <w:pPr>
        <w:keepNext w:val="0"/>
        <w:keepLines w:val="0"/>
        <w:pageBreakBefore w:val="0"/>
        <w:kinsoku/>
        <w:wordWrap/>
        <w:overflowPunct/>
        <w:topLinePunct w:val="0"/>
        <w:autoSpaceDE/>
        <w:autoSpaceDN/>
        <w:bidi w:val="0"/>
        <w:adjustRightInd/>
        <w:snapToGrid/>
        <w:spacing w:line="560" w:lineRule="exact"/>
        <w:jc w:val="center"/>
        <w:textAlignment w:val="auto"/>
        <w:outlineLvl w:val="9"/>
        <w:rPr>
          <w:rFonts w:hint="eastAsia" w:ascii="仿宋_GB2312" w:hAnsi="仿宋_GB2312" w:eastAsia="仿宋_GB2312" w:cs="仿宋_GB2312"/>
          <w:b/>
          <w:bCs/>
          <w:sz w:val="32"/>
          <w:szCs w:val="32"/>
        </w:rPr>
      </w:pPr>
    </w:p>
    <w:p>
      <w:pPr>
        <w:keepNext w:val="0"/>
        <w:keepLines w:val="0"/>
        <w:pageBreakBefore w:val="0"/>
        <w:widowControl/>
        <w:shd w:val="clear" w:color="auto" w:fill="FFFFFF"/>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四、物业服务企业在服务类别不变的情况下，因服务成本等原因需要调整收费标准的，由物业服务企业与全体业主在政府指导价范围内协商，在超过半数业主同意的条件下确定调价方案，并签订物业服务补充协议，报当地价格主管部门备案后执行。</w:t>
      </w:r>
    </w:p>
    <w:p>
      <w:pPr>
        <w:keepNext w:val="0"/>
        <w:keepLines w:val="0"/>
        <w:pageBreakBefore w:val="0"/>
        <w:widowControl/>
        <w:shd w:val="clear" w:color="auto" w:fill="FFFFFF"/>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五、物业服务收费按上述政府指导价标准执行，除业主另外委托服务项目外，物业服务企业不得再向业主分摊收取电梯、照明路灯、加压水泵、消防、绿化养护产生的水电费及其他相关费用。</w:t>
      </w:r>
    </w:p>
    <w:p>
      <w:pPr>
        <w:keepNext w:val="0"/>
        <w:keepLines w:val="0"/>
        <w:pageBreakBefore w:val="0"/>
        <w:widowControl/>
        <w:shd w:val="clear" w:color="auto" w:fill="FFFFFF"/>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六、自2018年</w:t>
      </w:r>
      <w:r>
        <w:rPr>
          <w:rFonts w:hint="eastAsia" w:ascii="仿宋_GB2312" w:hAnsi="仿宋_GB2312" w:eastAsia="仿宋_GB2312" w:cs="仿宋_GB2312"/>
          <w:color w:val="000000"/>
          <w:kern w:val="0"/>
          <w:sz w:val="32"/>
          <w:szCs w:val="32"/>
          <w:lang w:val="en-US" w:eastAsia="zh-CN"/>
        </w:rPr>
        <w:t>11</w:t>
      </w:r>
      <w:r>
        <w:rPr>
          <w:rFonts w:hint="eastAsia" w:ascii="仿宋_GB2312" w:hAnsi="仿宋_GB2312" w:eastAsia="仿宋_GB2312" w:cs="仿宋_GB2312"/>
          <w:color w:val="000000"/>
          <w:kern w:val="0"/>
          <w:sz w:val="32"/>
          <w:szCs w:val="32"/>
        </w:rPr>
        <w:t>月</w:t>
      </w:r>
      <w:r>
        <w:rPr>
          <w:rFonts w:hint="eastAsia" w:ascii="仿宋_GB2312" w:hAnsi="仿宋_GB2312" w:eastAsia="仿宋_GB2312" w:cs="仿宋_GB2312"/>
          <w:color w:val="000000"/>
          <w:kern w:val="0"/>
          <w:sz w:val="32"/>
          <w:szCs w:val="32"/>
          <w:lang w:val="en-US" w:eastAsia="zh-CN"/>
        </w:rPr>
        <w:t>30</w:t>
      </w:r>
      <w:r>
        <w:rPr>
          <w:rFonts w:hint="eastAsia" w:ascii="仿宋_GB2312" w:hAnsi="仿宋_GB2312" w:eastAsia="仿宋_GB2312" w:cs="仿宋_GB2312"/>
          <w:color w:val="000000"/>
          <w:kern w:val="0"/>
          <w:sz w:val="32"/>
          <w:szCs w:val="32"/>
        </w:rPr>
        <w:t>日前签订的《前期物业服务合同》，其收费内容与标准按原合同约定执行。</w:t>
      </w:r>
    </w:p>
    <w:p>
      <w:pPr>
        <w:keepNext w:val="0"/>
        <w:keepLines w:val="0"/>
        <w:pageBreakBefore w:val="0"/>
        <w:widowControl/>
        <w:shd w:val="clear" w:color="auto" w:fill="FFFFFF"/>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lang w:eastAsia="zh-CN"/>
        </w:rPr>
        <w:t>七、</w:t>
      </w:r>
      <w:r>
        <w:rPr>
          <w:rFonts w:hint="eastAsia" w:ascii="仿宋_GB2312" w:hAnsi="仿宋_GB2312" w:eastAsia="仿宋_GB2312" w:cs="仿宋_GB2312"/>
          <w:color w:val="000000"/>
          <w:kern w:val="0"/>
          <w:sz w:val="32"/>
          <w:szCs w:val="32"/>
        </w:rPr>
        <w:t>本通知从 2018年</w:t>
      </w:r>
      <w:r>
        <w:rPr>
          <w:rFonts w:hint="eastAsia" w:ascii="仿宋_GB2312" w:hAnsi="仿宋_GB2312" w:eastAsia="仿宋_GB2312" w:cs="仿宋_GB2312"/>
          <w:color w:val="000000"/>
          <w:kern w:val="0"/>
          <w:sz w:val="32"/>
          <w:szCs w:val="32"/>
          <w:lang w:val="en-US" w:eastAsia="zh-CN"/>
        </w:rPr>
        <w:t>12</w:t>
      </w:r>
      <w:r>
        <w:rPr>
          <w:rFonts w:hint="eastAsia" w:ascii="仿宋_GB2312" w:hAnsi="仿宋_GB2312" w:eastAsia="仿宋_GB2312" w:cs="仿宋_GB2312"/>
          <w:color w:val="000000"/>
          <w:kern w:val="0"/>
          <w:sz w:val="32"/>
          <w:szCs w:val="32"/>
        </w:rPr>
        <w:t>月</w:t>
      </w:r>
      <w:r>
        <w:rPr>
          <w:rFonts w:hint="eastAsia" w:ascii="仿宋_GB2312" w:hAnsi="仿宋_GB2312" w:eastAsia="仿宋_GB2312" w:cs="仿宋_GB2312"/>
          <w:color w:val="000000"/>
          <w:kern w:val="0"/>
          <w:sz w:val="32"/>
          <w:szCs w:val="32"/>
          <w:lang w:val="en-US" w:eastAsia="zh-CN"/>
        </w:rPr>
        <w:t>1</w:t>
      </w:r>
      <w:r>
        <w:rPr>
          <w:rFonts w:hint="eastAsia" w:ascii="仿宋_GB2312" w:hAnsi="仿宋_GB2312" w:eastAsia="仿宋_GB2312" w:cs="仿宋_GB2312"/>
          <w:color w:val="000000"/>
          <w:kern w:val="0"/>
          <w:sz w:val="32"/>
          <w:szCs w:val="32"/>
        </w:rPr>
        <w:t>日起试行，有效期至2019年</w:t>
      </w:r>
      <w:r>
        <w:rPr>
          <w:rFonts w:hint="eastAsia" w:ascii="仿宋_GB2312" w:hAnsi="仿宋_GB2312" w:eastAsia="仿宋_GB2312" w:cs="仿宋_GB2312"/>
          <w:color w:val="000000"/>
          <w:kern w:val="0"/>
          <w:sz w:val="32"/>
          <w:szCs w:val="32"/>
          <w:lang w:val="en-US" w:eastAsia="zh-CN"/>
        </w:rPr>
        <w:t>11月30</w:t>
      </w:r>
      <w:r>
        <w:rPr>
          <w:rFonts w:hint="eastAsia" w:ascii="仿宋_GB2312" w:hAnsi="仿宋_GB2312" w:eastAsia="仿宋_GB2312" w:cs="仿宋_GB2312"/>
          <w:color w:val="000000"/>
          <w:kern w:val="0"/>
          <w:sz w:val="32"/>
          <w:szCs w:val="32"/>
        </w:rPr>
        <w:t>日止，试行期满将重新核定。对原丰顺县发展改革局、丰顺县住房和城乡规划建设局《关于制定丰顺县城区住宅物业服务收费指导价和加强物业服务收费管理的通知》（丰发改价格﹝2012﹞9号）同时废止。若省、市业务主管部门有新规定则按新规定执行。</w:t>
      </w:r>
    </w:p>
    <w:p>
      <w:pPr>
        <w:keepNext w:val="0"/>
        <w:keepLines w:val="0"/>
        <w:pageBreakBefore w:val="0"/>
        <w:widowControl/>
        <w:shd w:val="clear" w:color="auto" w:fill="FFFFFF"/>
        <w:kinsoku/>
        <w:wordWrap/>
        <w:overflowPunct/>
        <w:topLinePunct w:val="0"/>
        <w:autoSpaceDE/>
        <w:autoSpaceDN/>
        <w:bidi w:val="0"/>
        <w:adjustRightInd/>
        <w:snapToGrid/>
        <w:spacing w:line="560" w:lineRule="exact"/>
        <w:ind w:firstLine="640" w:firstLineChars="200"/>
        <w:jc w:val="left"/>
        <w:textAlignment w:val="auto"/>
        <w:outlineLvl w:val="9"/>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sz w:val="32"/>
          <w:szCs w:val="32"/>
        </w:rPr>
        <w:t>附件</w:t>
      </w:r>
      <w:r>
        <w:rPr>
          <w:rFonts w:hint="eastAsia" w:ascii="仿宋_GB2312" w:hAnsi="仿宋_GB2312" w:eastAsia="仿宋_GB2312" w:cs="仿宋_GB2312"/>
          <w:sz w:val="32"/>
          <w:szCs w:val="32"/>
          <w:lang w:val="en-US" w:eastAsia="zh-CN"/>
        </w:rPr>
        <w:t>:一</w:t>
      </w:r>
      <w:r>
        <w:rPr>
          <w:rFonts w:hint="eastAsia" w:ascii="仿宋_GB2312" w:hAnsi="仿宋_GB2312" w:eastAsia="仿宋_GB2312" w:cs="仿宋_GB2312"/>
          <w:bCs/>
          <w:sz w:val="32"/>
          <w:szCs w:val="32"/>
        </w:rPr>
        <w:t>丰顺县住宅物业服务类别参考标准</w:t>
      </w:r>
    </w:p>
    <w:p>
      <w:pPr>
        <w:keepNext w:val="0"/>
        <w:keepLines w:val="0"/>
        <w:pageBreakBefore w:val="0"/>
        <w:widowControl/>
        <w:shd w:val="clear" w:color="auto" w:fill="FFFFFF"/>
        <w:kinsoku/>
        <w:wordWrap/>
        <w:overflowPunct/>
        <w:topLinePunct w:val="0"/>
        <w:autoSpaceDE/>
        <w:autoSpaceDN/>
        <w:bidi w:val="0"/>
        <w:adjustRightInd/>
        <w:snapToGrid/>
        <w:spacing w:line="560" w:lineRule="exact"/>
        <w:ind w:firstLine="420" w:firstLineChars="200"/>
        <w:jc w:val="left"/>
        <w:textAlignment w:val="auto"/>
        <w:outlineLvl w:val="9"/>
        <w:rPr>
          <w:rFonts w:hint="eastAsia" w:ascii="仿宋_GB2312" w:hAnsi="仿宋_GB2312" w:eastAsia="仿宋_GB2312" w:cs="仿宋_GB2312"/>
          <w:sz w:val="32"/>
          <w:szCs w:val="32"/>
          <w:lang w:val="en-US" w:eastAsia="zh-CN"/>
        </w:rPr>
      </w:pPr>
      <w:bookmarkStart w:id="0" w:name="_GoBack"/>
      <w:r>
        <w:drawing>
          <wp:anchor distT="0" distB="0" distL="114300" distR="114300" simplePos="0" relativeHeight="251658240" behindDoc="0" locked="0" layoutInCell="1" allowOverlap="1">
            <wp:simplePos x="0" y="0"/>
            <wp:positionH relativeFrom="column">
              <wp:posOffset>-514985</wp:posOffset>
            </wp:positionH>
            <wp:positionV relativeFrom="paragraph">
              <wp:posOffset>12700</wp:posOffset>
            </wp:positionV>
            <wp:extent cx="6739890" cy="2250440"/>
            <wp:effectExtent l="0" t="0" r="3810" b="1651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6739890" cy="2250440"/>
                    </a:xfrm>
                    <a:prstGeom prst="rect">
                      <a:avLst/>
                    </a:prstGeom>
                    <a:noFill/>
                    <a:ln w="9525">
                      <a:noFill/>
                    </a:ln>
                  </pic:spPr>
                </pic:pic>
              </a:graphicData>
            </a:graphic>
          </wp:anchor>
        </w:drawing>
      </w:r>
      <w:bookmarkEnd w:id="0"/>
    </w:p>
    <w:p>
      <w:pPr>
        <w:keepNext w:val="0"/>
        <w:keepLines w:val="0"/>
        <w:pageBreakBefore w:val="0"/>
        <w:kinsoku/>
        <w:wordWrap/>
        <w:overflowPunct/>
        <w:topLinePunct w:val="0"/>
        <w:autoSpaceDE/>
        <w:autoSpaceDN/>
        <w:bidi w:val="0"/>
        <w:adjustRightInd/>
        <w:snapToGrid/>
        <w:spacing w:line="560" w:lineRule="exact"/>
        <w:jc w:val="both"/>
        <w:textAlignment w:val="auto"/>
        <w:outlineLvl w:val="9"/>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公开方式：主动公开</w:t>
      </w:r>
    </w:p>
    <w:p>
      <w:pPr>
        <w:keepNext w:val="0"/>
        <w:keepLines w:val="0"/>
        <w:pageBreakBefore w:val="0"/>
        <w:kinsoku/>
        <w:wordWrap/>
        <w:overflowPunct/>
        <w:topLinePunct w:val="0"/>
        <w:autoSpaceDE/>
        <w:autoSpaceDN/>
        <w:bidi w:val="0"/>
        <w:adjustRightInd/>
        <w:snapToGrid/>
        <w:spacing w:line="560" w:lineRule="exact"/>
        <w:jc w:val="both"/>
        <w:textAlignment w:val="auto"/>
        <w:outlineLvl w:val="9"/>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抄送：市发展和改革局，市住房和城乡规划建设局，县府办，税务局，县委常委、常务副县长郑春鹏</w:t>
      </w:r>
    </w:p>
    <w:sectPr>
      <w:pgSz w:w="11906" w:h="16838"/>
      <w:pgMar w:top="1723" w:right="1463" w:bottom="1440" w:left="146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EE261E6"/>
    <w:rsid w:val="056B1B1A"/>
    <w:rsid w:val="0A5741AF"/>
    <w:rsid w:val="2C766FDB"/>
    <w:rsid w:val="3D575D21"/>
    <w:rsid w:val="3E945563"/>
    <w:rsid w:val="3EE261E6"/>
    <w:rsid w:val="51C36503"/>
    <w:rsid w:val="58673BAE"/>
    <w:rsid w:val="6AAC3EE9"/>
    <w:rsid w:val="6D535020"/>
    <w:rsid w:val="73A222A2"/>
    <w:rsid w:val="768A3857"/>
    <w:rsid w:val="7D6A63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iPriority w:val="0"/>
  </w:style>
  <w:style w:type="table" w:default="1" w:styleId="3">
    <w:name w:val="Normal Table"/>
    <w:semiHidden/>
    <w:qFormat/>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Application%20Data\Kingsoft\wps\addons\pool\win-i386\knewfileruby_1.0.0.10\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1</TotalTime>
  <ScaleCrop>false</ScaleCrop>
  <LinksUpToDate>false</LinksUpToDate>
  <CharactersWithSpaces>0</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2018-07-02T01:51:00Z</dcterms:created>
  <dc:creator>Administrator</dc:creator>
  <cp:lastModifiedBy>ゞ滎灬烏;</cp:lastModifiedBy>
  <cp:lastPrinted>2018-10-25T02:27:00Z</cp:lastPrinted>
  <dcterms:modified xsi:type="dcterms:W3CDTF">2018-10-26T01:33:50Z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