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1A" w:rsidRPr="00603984" w:rsidRDefault="00555067" w:rsidP="00555067">
      <w:pPr>
        <w:pStyle w:val="2"/>
        <w:jc w:val="center"/>
        <w:rPr>
          <w:rFonts w:ascii="宋体" w:eastAsia="宋体" w:hAnsi="宋体"/>
        </w:rPr>
      </w:pPr>
      <w:r w:rsidRPr="00603984">
        <w:rPr>
          <w:rFonts w:ascii="宋体" w:eastAsia="宋体" w:hAnsi="宋体" w:hint="eastAsia"/>
        </w:rPr>
        <w:t>丰顺县汤坑镇洋田村</w:t>
      </w:r>
      <w:r w:rsidRPr="00603984">
        <w:rPr>
          <w:rFonts w:ascii="宋体" w:eastAsia="宋体" w:hAnsi="宋体"/>
        </w:rPr>
        <w:t>110kV汤坑站侧地块控制性详细规划</w:t>
      </w:r>
    </w:p>
    <w:p w:rsidR="008107E4" w:rsidRPr="008107E4" w:rsidRDefault="008107E4" w:rsidP="008107E4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44"/>
        </w:rPr>
      </w:pPr>
      <w:r>
        <w:rPr>
          <w:rFonts w:ascii="宋体" w:eastAsia="宋体" w:hAnsi="宋体" w:cs="Times New Roman" w:hint="eastAsia"/>
          <w:b/>
          <w:sz w:val="24"/>
          <w:szCs w:val="44"/>
        </w:rPr>
        <w:t>一</w:t>
      </w:r>
      <w:r>
        <w:rPr>
          <w:rFonts w:ascii="宋体" w:eastAsia="宋体" w:hAnsi="宋体" w:cs="Times New Roman"/>
          <w:b/>
          <w:sz w:val="24"/>
          <w:szCs w:val="44"/>
        </w:rPr>
        <w:t>、</w:t>
      </w:r>
      <w:r w:rsidRPr="008107E4">
        <w:rPr>
          <w:rFonts w:ascii="宋体" w:eastAsia="宋体" w:hAnsi="宋体" w:cs="Times New Roman" w:hint="eastAsia"/>
          <w:b/>
          <w:sz w:val="24"/>
          <w:szCs w:val="44"/>
        </w:rPr>
        <w:t>规划范围</w:t>
      </w:r>
    </w:p>
    <w:p w:rsidR="00440700" w:rsidRPr="008107E4" w:rsidRDefault="00A87DCA" w:rsidP="008107E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44"/>
        </w:rPr>
      </w:pPr>
      <w:r w:rsidRPr="008107E4">
        <w:rPr>
          <w:rFonts w:ascii="宋体" w:eastAsia="宋体" w:hAnsi="宋体" w:cs="Times New Roman" w:hint="eastAsia"/>
          <w:sz w:val="24"/>
          <w:szCs w:val="44"/>
        </w:rPr>
        <w:t>本次规划范围为</w:t>
      </w:r>
      <w:r w:rsidR="00B53050" w:rsidRPr="008107E4">
        <w:rPr>
          <w:rFonts w:ascii="宋体" w:eastAsia="宋体" w:hAnsi="宋体" w:cs="Times New Roman" w:hint="eastAsia"/>
          <w:sz w:val="24"/>
          <w:szCs w:val="44"/>
        </w:rPr>
        <w:t>丰顺县汤坑镇洋田村</w:t>
      </w:r>
      <w:r w:rsidRPr="008107E4">
        <w:rPr>
          <w:rFonts w:ascii="宋体" w:eastAsia="宋体" w:hAnsi="宋体" w:cs="Times New Roman" w:hint="eastAsia"/>
          <w:sz w:val="24"/>
          <w:szCs w:val="44"/>
        </w:rPr>
        <w:t>110</w:t>
      </w:r>
      <w:r w:rsidRPr="008107E4">
        <w:rPr>
          <w:rFonts w:ascii="宋体" w:eastAsia="宋体" w:hAnsi="宋体" w:cs="Times New Roman"/>
          <w:sz w:val="24"/>
          <w:szCs w:val="44"/>
        </w:rPr>
        <w:t>kV</w:t>
      </w:r>
      <w:r w:rsidRPr="008107E4">
        <w:rPr>
          <w:rFonts w:ascii="宋体" w:eastAsia="宋体" w:hAnsi="宋体" w:cs="Times New Roman" w:hint="eastAsia"/>
          <w:sz w:val="24"/>
          <w:szCs w:val="44"/>
        </w:rPr>
        <w:t>汤坑站</w:t>
      </w:r>
      <w:r w:rsidRPr="008107E4">
        <w:rPr>
          <w:rFonts w:ascii="宋体" w:eastAsia="宋体" w:hAnsi="宋体" w:cs="Times New Roman"/>
          <w:sz w:val="24"/>
          <w:szCs w:val="44"/>
        </w:rPr>
        <w:t>侧</w:t>
      </w:r>
      <w:r w:rsidR="00B53050" w:rsidRPr="008107E4">
        <w:rPr>
          <w:rFonts w:ascii="宋体" w:eastAsia="宋体" w:hAnsi="宋体" w:cs="Times New Roman" w:hint="eastAsia"/>
          <w:sz w:val="24"/>
          <w:szCs w:val="44"/>
        </w:rPr>
        <w:t>地块</w:t>
      </w:r>
      <w:r w:rsidRPr="008107E4">
        <w:rPr>
          <w:rFonts w:ascii="宋体" w:eastAsia="宋体" w:hAnsi="宋体" w:cs="Times New Roman" w:hint="eastAsia"/>
          <w:sz w:val="24"/>
          <w:szCs w:val="44"/>
        </w:rPr>
        <w:t>，</w:t>
      </w:r>
      <w:r w:rsidR="00B53050" w:rsidRPr="008107E4">
        <w:rPr>
          <w:rFonts w:ascii="宋体" w:eastAsia="宋体" w:hAnsi="宋体" w:cs="Times New Roman" w:hint="eastAsia"/>
          <w:sz w:val="24"/>
          <w:szCs w:val="44"/>
        </w:rPr>
        <w:t>位于丰顺县城东北部，东至规划城市支路、南到规划城市次干道、西至在建</w:t>
      </w:r>
      <w:r w:rsidRPr="008107E4">
        <w:rPr>
          <w:rFonts w:ascii="宋体" w:eastAsia="宋体" w:hAnsi="宋体" w:cs="Times New Roman" w:hint="eastAsia"/>
          <w:sz w:val="24"/>
          <w:szCs w:val="44"/>
        </w:rPr>
        <w:t>的高铁连接线</w:t>
      </w:r>
      <w:r w:rsidR="00B53050" w:rsidRPr="008107E4">
        <w:rPr>
          <w:rFonts w:ascii="宋体" w:eastAsia="宋体" w:hAnsi="宋体" w:cs="Times New Roman" w:hint="eastAsia"/>
          <w:sz w:val="24"/>
          <w:szCs w:val="44"/>
        </w:rPr>
        <w:t>、北到</w:t>
      </w:r>
      <w:r w:rsidRPr="008107E4">
        <w:rPr>
          <w:rFonts w:ascii="宋体" w:eastAsia="宋体" w:hAnsi="宋体" w:cs="Times New Roman" w:hint="eastAsia"/>
          <w:sz w:val="24"/>
          <w:szCs w:val="44"/>
        </w:rPr>
        <w:t>规划的友谊路</w:t>
      </w:r>
      <w:r w:rsidR="00B53050" w:rsidRPr="008107E4">
        <w:rPr>
          <w:rFonts w:ascii="宋体" w:eastAsia="宋体" w:hAnsi="宋体" w:cs="Times New Roman" w:hint="eastAsia"/>
          <w:sz w:val="24"/>
          <w:szCs w:val="44"/>
        </w:rPr>
        <w:t>，总用地面积14.59公顷。</w:t>
      </w:r>
    </w:p>
    <w:p w:rsidR="008107E4" w:rsidRPr="008107E4" w:rsidRDefault="008107E4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44"/>
        </w:rPr>
      </w:pPr>
      <w:r w:rsidRPr="008107E4">
        <w:rPr>
          <w:rFonts w:ascii="宋体" w:eastAsia="宋体" w:hAnsi="宋体" w:cs="Times New Roman" w:hint="eastAsia"/>
          <w:b/>
          <w:sz w:val="24"/>
          <w:szCs w:val="44"/>
        </w:rPr>
        <w:t>二</w:t>
      </w:r>
      <w:r w:rsidRPr="008107E4">
        <w:rPr>
          <w:rFonts w:ascii="宋体" w:eastAsia="宋体" w:hAnsi="宋体" w:cs="Times New Roman"/>
          <w:b/>
          <w:sz w:val="24"/>
          <w:szCs w:val="44"/>
        </w:rPr>
        <w:t>、</w:t>
      </w:r>
      <w:r w:rsidRPr="008107E4">
        <w:rPr>
          <w:rFonts w:ascii="宋体" w:eastAsia="宋体" w:hAnsi="宋体" w:cs="Times New Roman" w:hint="eastAsia"/>
          <w:b/>
          <w:sz w:val="24"/>
          <w:szCs w:val="44"/>
        </w:rPr>
        <w:t>用地布局</w:t>
      </w:r>
    </w:p>
    <w:p w:rsidR="008107E4" w:rsidRDefault="00CE2861" w:rsidP="008107E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44"/>
        </w:rPr>
      </w:pPr>
      <w:r w:rsidRPr="00603984">
        <w:rPr>
          <w:rFonts w:ascii="宋体" w:eastAsia="宋体" w:hAnsi="宋体" w:cs="Times New Roman"/>
          <w:sz w:val="24"/>
          <w:szCs w:val="44"/>
        </w:rPr>
        <w:t>规划</w:t>
      </w:r>
      <w:r>
        <w:rPr>
          <w:rFonts w:ascii="宋体" w:eastAsia="宋体" w:hAnsi="宋体" w:cs="Times New Roman"/>
          <w:sz w:val="24"/>
          <w:szCs w:val="44"/>
        </w:rPr>
        <w:t>城市建设用地</w:t>
      </w:r>
      <w:r>
        <w:rPr>
          <w:rFonts w:ascii="宋体" w:eastAsia="宋体" w:hAnsi="宋体" w:cs="Times New Roman" w:hint="eastAsia"/>
          <w:sz w:val="24"/>
          <w:szCs w:val="44"/>
        </w:rPr>
        <w:t>13.41公顷</w:t>
      </w:r>
      <w:r>
        <w:rPr>
          <w:rFonts w:ascii="宋体" w:eastAsia="宋体" w:hAnsi="宋体" w:cs="Times New Roman"/>
          <w:sz w:val="24"/>
          <w:szCs w:val="44"/>
        </w:rPr>
        <w:t>。</w:t>
      </w:r>
      <w:r>
        <w:rPr>
          <w:rFonts w:ascii="宋体" w:eastAsia="宋体" w:hAnsi="宋体" w:cs="Times New Roman" w:hint="eastAsia"/>
          <w:sz w:val="24"/>
          <w:szCs w:val="44"/>
        </w:rPr>
        <w:t>其中</w:t>
      </w:r>
      <w:r>
        <w:rPr>
          <w:rFonts w:ascii="宋体" w:eastAsia="宋体" w:hAnsi="宋体" w:cs="Times New Roman"/>
          <w:sz w:val="24"/>
          <w:szCs w:val="44"/>
        </w:rPr>
        <w:t>：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二类</w:t>
      </w:r>
      <w:r w:rsidR="00B53050" w:rsidRPr="00603984">
        <w:rPr>
          <w:rFonts w:ascii="宋体" w:eastAsia="宋体" w:hAnsi="宋体" w:cs="Times New Roman"/>
          <w:sz w:val="24"/>
          <w:szCs w:val="44"/>
        </w:rPr>
        <w:t>工业用地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9.15</w:t>
      </w:r>
      <w:r w:rsidR="00B53050" w:rsidRPr="00603984">
        <w:rPr>
          <w:rFonts w:ascii="宋体" w:eastAsia="宋体" w:hAnsi="宋体" w:cs="Times New Roman"/>
          <w:sz w:val="24"/>
          <w:szCs w:val="44"/>
        </w:rPr>
        <w:t>公顷，占城市建设用地的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6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8.2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3</w:t>
      </w:r>
      <w:r w:rsidR="00B53050" w:rsidRPr="00603984">
        <w:rPr>
          <w:rFonts w:ascii="宋体" w:eastAsia="宋体" w:hAnsi="宋体" w:cs="Times New Roman"/>
          <w:sz w:val="24"/>
          <w:szCs w:val="44"/>
        </w:rPr>
        <w:t>%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；道路与交通设施用地1.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93</w:t>
      </w:r>
      <w:r w:rsidR="00B53050" w:rsidRPr="00603984">
        <w:rPr>
          <w:rFonts w:ascii="宋体" w:eastAsia="宋体" w:hAnsi="宋体" w:cs="Times New Roman"/>
          <w:sz w:val="24"/>
          <w:szCs w:val="44"/>
        </w:rPr>
        <w:t>公顷，占城市建设用地的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1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4.39</w:t>
      </w:r>
      <w:r w:rsidR="00B53050" w:rsidRPr="00603984">
        <w:rPr>
          <w:rFonts w:ascii="宋体" w:eastAsia="宋体" w:hAnsi="宋体" w:cs="Times New Roman"/>
          <w:sz w:val="24"/>
          <w:szCs w:val="44"/>
        </w:rPr>
        <w:t>%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；公用设施用地</w:t>
      </w:r>
      <w:r w:rsidR="00720CD3" w:rsidRPr="00603984">
        <w:rPr>
          <w:rFonts w:ascii="宋体" w:eastAsia="宋体" w:hAnsi="宋体" w:cs="Times New Roman" w:hint="eastAsia"/>
          <w:sz w:val="24"/>
          <w:szCs w:val="44"/>
        </w:rPr>
        <w:t>（现状110千伏</w:t>
      </w:r>
      <w:r w:rsidR="00720CD3" w:rsidRPr="00603984">
        <w:rPr>
          <w:rFonts w:ascii="宋体" w:eastAsia="宋体" w:hAnsi="宋体" w:cs="Times New Roman"/>
          <w:sz w:val="24"/>
          <w:szCs w:val="44"/>
        </w:rPr>
        <w:t>汤坑站用地</w:t>
      </w:r>
      <w:r w:rsidR="00720CD3" w:rsidRPr="00603984">
        <w:rPr>
          <w:rFonts w:ascii="宋体" w:eastAsia="宋体" w:hAnsi="宋体" w:cs="Times New Roman" w:hint="eastAsia"/>
          <w:sz w:val="24"/>
          <w:szCs w:val="44"/>
        </w:rPr>
        <w:t>）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1.90</w:t>
      </w:r>
      <w:r w:rsidR="00B53050" w:rsidRPr="00603984">
        <w:rPr>
          <w:rFonts w:ascii="宋体" w:eastAsia="宋体" w:hAnsi="宋体" w:cs="Times New Roman"/>
          <w:sz w:val="24"/>
          <w:szCs w:val="44"/>
        </w:rPr>
        <w:t>公顷，占城市建设用地的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1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4.17</w:t>
      </w:r>
      <w:r w:rsidR="00B53050" w:rsidRPr="00603984">
        <w:rPr>
          <w:rFonts w:ascii="宋体" w:eastAsia="宋体" w:hAnsi="宋体" w:cs="Times New Roman"/>
          <w:sz w:val="24"/>
          <w:szCs w:val="44"/>
        </w:rPr>
        <w:t>%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；</w:t>
      </w:r>
      <w:r w:rsidR="00B53050" w:rsidRPr="00603984">
        <w:rPr>
          <w:rFonts w:ascii="宋体" w:eastAsia="宋体" w:hAnsi="宋体" w:cs="Times New Roman"/>
          <w:sz w:val="24"/>
          <w:szCs w:val="44"/>
        </w:rPr>
        <w:t>绿地与广场用地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0.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43</w:t>
      </w:r>
      <w:r w:rsidR="00B53050" w:rsidRPr="00603984">
        <w:rPr>
          <w:rFonts w:ascii="宋体" w:eastAsia="宋体" w:hAnsi="宋体" w:cs="Times New Roman"/>
          <w:sz w:val="24"/>
          <w:szCs w:val="44"/>
        </w:rPr>
        <w:t>公顷，占城市建设用地的</w:t>
      </w:r>
      <w:r w:rsidR="0082645C" w:rsidRPr="00603984">
        <w:rPr>
          <w:rFonts w:ascii="宋体" w:eastAsia="宋体" w:hAnsi="宋体" w:cs="Times New Roman" w:hint="eastAsia"/>
          <w:sz w:val="24"/>
          <w:szCs w:val="44"/>
        </w:rPr>
        <w:t>3.21</w:t>
      </w:r>
      <w:r w:rsidR="00B53050" w:rsidRPr="00603984">
        <w:rPr>
          <w:rFonts w:ascii="宋体" w:eastAsia="宋体" w:hAnsi="宋体" w:cs="Times New Roman"/>
          <w:sz w:val="24"/>
          <w:szCs w:val="44"/>
        </w:rPr>
        <w:t>%，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用地均为防护绿地，控制</w:t>
      </w:r>
      <w:r w:rsidR="00B53050" w:rsidRPr="00603984">
        <w:rPr>
          <w:rFonts w:ascii="宋体" w:eastAsia="宋体" w:hAnsi="宋体" w:cs="Times New Roman"/>
          <w:sz w:val="24"/>
          <w:szCs w:val="44"/>
        </w:rPr>
        <w:t>为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110千伏</w:t>
      </w:r>
      <w:r w:rsidR="00B53050" w:rsidRPr="00603984">
        <w:rPr>
          <w:rFonts w:ascii="宋体" w:eastAsia="宋体" w:hAnsi="宋体" w:cs="Times New Roman"/>
          <w:sz w:val="24"/>
          <w:szCs w:val="44"/>
        </w:rPr>
        <w:t>汤坑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站</w:t>
      </w:r>
      <w:r w:rsidR="00B53050" w:rsidRPr="00603984">
        <w:rPr>
          <w:rFonts w:ascii="宋体" w:eastAsia="宋体" w:hAnsi="宋体" w:cs="Times New Roman"/>
          <w:sz w:val="24"/>
          <w:szCs w:val="44"/>
        </w:rPr>
        <w:t>进出线廊道</w:t>
      </w:r>
      <w:r w:rsidR="00B53050" w:rsidRPr="00603984">
        <w:rPr>
          <w:rFonts w:ascii="宋体" w:eastAsia="宋体" w:hAnsi="宋体" w:cs="Times New Roman" w:hint="eastAsia"/>
          <w:sz w:val="24"/>
          <w:szCs w:val="44"/>
        </w:rPr>
        <w:t>。</w:t>
      </w:r>
    </w:p>
    <w:p w:rsidR="008107E4" w:rsidRPr="00603984" w:rsidRDefault="008107E4" w:rsidP="008107E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44"/>
        </w:rPr>
      </w:pPr>
      <w:r w:rsidRPr="00603984">
        <w:rPr>
          <w:rFonts w:ascii="宋体" w:eastAsia="宋体" w:hAnsi="宋体" w:cs="Times New Roman"/>
          <w:sz w:val="24"/>
          <w:szCs w:val="44"/>
        </w:rPr>
        <w:t>规划非建设用地0.09公顷，占规划区总用地的</w:t>
      </w:r>
      <w:r w:rsidRPr="00603984">
        <w:rPr>
          <w:rFonts w:ascii="宋体" w:eastAsia="宋体" w:hAnsi="宋体" w:cs="Times New Roman" w:hint="eastAsia"/>
          <w:sz w:val="24"/>
          <w:szCs w:val="44"/>
        </w:rPr>
        <w:t>0.62</w:t>
      </w:r>
      <w:r w:rsidRPr="00603984">
        <w:rPr>
          <w:rFonts w:ascii="宋体" w:eastAsia="宋体" w:hAnsi="宋体" w:cs="Times New Roman"/>
          <w:sz w:val="24"/>
          <w:szCs w:val="44"/>
        </w:rPr>
        <w:t>%，主要</w:t>
      </w:r>
      <w:r w:rsidRPr="00603984">
        <w:rPr>
          <w:rFonts w:ascii="宋体" w:eastAsia="宋体" w:hAnsi="宋体" w:cs="Times New Roman" w:hint="eastAsia"/>
          <w:sz w:val="24"/>
          <w:szCs w:val="44"/>
        </w:rPr>
        <w:t>为规划范围内的农林用地</w:t>
      </w:r>
      <w:r w:rsidRPr="00603984">
        <w:rPr>
          <w:rFonts w:ascii="宋体" w:eastAsia="宋体" w:hAnsi="宋体" w:cs="Times New Roman"/>
          <w:sz w:val="24"/>
          <w:szCs w:val="44"/>
        </w:rPr>
        <w:t>。</w:t>
      </w:r>
      <w:bookmarkStart w:id="0" w:name="_GoBack"/>
      <w:bookmarkEnd w:id="0"/>
    </w:p>
    <w:p w:rsidR="00440700" w:rsidRDefault="00777CA2">
      <w:pPr>
        <w:spacing w:line="360" w:lineRule="auto"/>
        <w:jc w:val="left"/>
        <w:rPr>
          <w:rFonts w:asciiTheme="minorEastAsia" w:hAnsiTheme="minorEastAsia" w:cs="Times New Roman"/>
          <w:sz w:val="24"/>
          <w:szCs w:val="44"/>
        </w:rPr>
      </w:pPr>
      <w:r>
        <w:rPr>
          <w:rFonts w:asciiTheme="minorEastAsia" w:hAnsiTheme="minorEastAsia" w:cs="Times New Roman"/>
          <w:noProof/>
          <w:sz w:val="24"/>
          <w:szCs w:val="44"/>
        </w:rPr>
        <w:drawing>
          <wp:inline distT="0" distB="0" distL="0" distR="0">
            <wp:extent cx="5266690" cy="3726815"/>
            <wp:effectExtent l="0" t="0" r="0" b="0"/>
            <wp:docPr id="2" name="图片 2" descr="E:\0-2018\04 丰顺总规\003 工业地块论证\邱瀚\3.土地使用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-2018\04 丰顺总规\003 工业地块论证\邱瀚\3.土地使用规划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00" w:rsidRPr="00A87117" w:rsidRDefault="00B53050" w:rsidP="00A87117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sz w:val="24"/>
          <w:szCs w:val="44"/>
        </w:rPr>
      </w:pPr>
      <w:r w:rsidRPr="00A87117">
        <w:rPr>
          <w:rFonts w:ascii="宋体" w:eastAsia="宋体" w:hAnsi="宋体" w:cs="Times New Roman" w:hint="eastAsia"/>
          <w:sz w:val="24"/>
          <w:szCs w:val="44"/>
        </w:rPr>
        <w:t>土地使用规划图</w:t>
      </w:r>
    </w:p>
    <w:p w:rsidR="00440700" w:rsidRDefault="00440700">
      <w:pPr>
        <w:spacing w:line="360" w:lineRule="auto"/>
        <w:jc w:val="center"/>
        <w:rPr>
          <w:rFonts w:asciiTheme="minorEastAsia" w:hAnsiTheme="minorEastAsia" w:cs="Times New Roman"/>
          <w:szCs w:val="44"/>
        </w:rPr>
      </w:pPr>
    </w:p>
    <w:p w:rsidR="00440700" w:rsidRPr="008107E4" w:rsidRDefault="00B53050">
      <w:pPr>
        <w:spacing w:line="360" w:lineRule="auto"/>
        <w:jc w:val="center"/>
        <w:rPr>
          <w:rFonts w:ascii="Times New Roman" w:hAnsi="Times New Roman"/>
          <w:sz w:val="24"/>
          <w:szCs w:val="21"/>
        </w:rPr>
      </w:pPr>
      <w:r w:rsidRPr="008107E4">
        <w:rPr>
          <w:rFonts w:ascii="Times New Roman" w:hAnsi="Times New Roman" w:hint="eastAsia"/>
          <w:sz w:val="24"/>
          <w:szCs w:val="21"/>
        </w:rPr>
        <w:lastRenderedPageBreak/>
        <w:t>表</w:t>
      </w:r>
      <w:r w:rsidRPr="008107E4">
        <w:rPr>
          <w:rFonts w:ascii="Times New Roman" w:hAnsi="Times New Roman" w:hint="eastAsia"/>
          <w:sz w:val="24"/>
          <w:szCs w:val="21"/>
        </w:rPr>
        <w:t>1</w:t>
      </w:r>
      <w:r w:rsidRPr="008107E4">
        <w:rPr>
          <w:rFonts w:ascii="Times New Roman" w:hAnsi="Times New Roman" w:hint="eastAsia"/>
          <w:sz w:val="24"/>
          <w:szCs w:val="21"/>
        </w:rPr>
        <w:t>：</w:t>
      </w:r>
      <w:r w:rsidRPr="008107E4">
        <w:rPr>
          <w:rFonts w:ascii="Times New Roman" w:hAnsi="Times New Roman"/>
          <w:sz w:val="24"/>
          <w:szCs w:val="21"/>
        </w:rPr>
        <w:t>城市建设用地统计表</w:t>
      </w:r>
    </w:p>
    <w:tbl>
      <w:tblPr>
        <w:tblW w:w="5297" w:type="pct"/>
        <w:tblLook w:val="04A0"/>
      </w:tblPr>
      <w:tblGrid>
        <w:gridCol w:w="885"/>
        <w:gridCol w:w="896"/>
        <w:gridCol w:w="896"/>
        <w:gridCol w:w="1970"/>
        <w:gridCol w:w="3044"/>
        <w:gridCol w:w="3401"/>
      </w:tblGrid>
      <w:tr w:rsidR="00777CA2" w:rsidRPr="00A2186D" w:rsidTr="00795C65">
        <w:trPr>
          <w:trHeight w:val="285"/>
        </w:trPr>
        <w:tc>
          <w:tcPr>
            <w:tcW w:w="12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用地代码 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用地名称 </w:t>
            </w:r>
          </w:p>
        </w:tc>
        <w:tc>
          <w:tcPr>
            <w:tcW w:w="13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面积（hm</w:t>
            </w: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vertAlign w:val="superscript"/>
              </w:rPr>
              <w:t>2</w:t>
            </w: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） </w:t>
            </w:r>
          </w:p>
        </w:tc>
        <w:tc>
          <w:tcPr>
            <w:tcW w:w="1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占城市建设用地比例（%） 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大类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中类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小类 </w:t>
            </w:r>
          </w:p>
        </w:tc>
        <w:tc>
          <w:tcPr>
            <w:tcW w:w="8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工业用地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8264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8.23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二类工业用地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9.15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S 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道路与交通设施用地 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8264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4.39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城市道路用地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U 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公用设施用地 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8264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4.17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供应设施用地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U12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供电用地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1.90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G 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绿地与广场用地 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82645C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3.21</w:t>
            </w: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A2186D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防护绿地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A2186D" w:rsidTr="00795C65">
        <w:trPr>
          <w:trHeight w:val="28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H11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城市建设用地 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13.41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A2186D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18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</w:tbl>
    <w:p w:rsidR="00440700" w:rsidRPr="008107E4" w:rsidRDefault="00B53050">
      <w:pPr>
        <w:spacing w:line="360" w:lineRule="auto"/>
        <w:jc w:val="center"/>
        <w:rPr>
          <w:rFonts w:ascii="Times New Roman" w:hAnsi="Times New Roman"/>
          <w:sz w:val="24"/>
          <w:szCs w:val="21"/>
        </w:rPr>
      </w:pPr>
      <w:r w:rsidRPr="008107E4">
        <w:rPr>
          <w:rFonts w:ascii="Times New Roman" w:hAnsi="Times New Roman" w:hint="eastAsia"/>
          <w:sz w:val="24"/>
          <w:szCs w:val="21"/>
        </w:rPr>
        <w:t>表</w:t>
      </w:r>
      <w:r w:rsidRPr="008107E4">
        <w:rPr>
          <w:rFonts w:ascii="Times New Roman" w:hAnsi="Times New Roman" w:hint="eastAsia"/>
          <w:sz w:val="24"/>
          <w:szCs w:val="21"/>
        </w:rPr>
        <w:t>2</w:t>
      </w:r>
      <w:r w:rsidR="008107E4">
        <w:rPr>
          <w:rFonts w:ascii="Times New Roman" w:hAnsi="Times New Roman" w:hint="eastAsia"/>
          <w:sz w:val="24"/>
          <w:szCs w:val="21"/>
        </w:rPr>
        <w:t>：城乡用地汇总</w:t>
      </w:r>
      <w:r w:rsidRPr="008107E4">
        <w:rPr>
          <w:rFonts w:ascii="Times New Roman" w:hAnsi="Times New Roman" w:hint="eastAsia"/>
          <w:sz w:val="24"/>
          <w:szCs w:val="21"/>
        </w:rPr>
        <w:t>表</w:t>
      </w:r>
    </w:p>
    <w:tbl>
      <w:tblPr>
        <w:tblW w:w="5297" w:type="pct"/>
        <w:tblLook w:val="04A0"/>
      </w:tblPr>
      <w:tblGrid>
        <w:gridCol w:w="885"/>
        <w:gridCol w:w="896"/>
        <w:gridCol w:w="894"/>
        <w:gridCol w:w="3044"/>
        <w:gridCol w:w="2150"/>
        <w:gridCol w:w="3223"/>
      </w:tblGrid>
      <w:tr w:rsidR="00777CA2" w:rsidRPr="00130C52" w:rsidTr="00795C65">
        <w:trPr>
          <w:trHeight w:val="285"/>
        </w:trPr>
        <w:tc>
          <w:tcPr>
            <w:tcW w:w="12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用地代码 </w:t>
            </w:r>
          </w:p>
        </w:tc>
        <w:tc>
          <w:tcPr>
            <w:tcW w:w="13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用地名称 </w:t>
            </w:r>
          </w:p>
        </w:tc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面积（hm</w:t>
            </w: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） 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占城乡用地比例（%） </w:t>
            </w: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大类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中类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小类 </w:t>
            </w:r>
          </w:p>
        </w:tc>
        <w:tc>
          <w:tcPr>
            <w:tcW w:w="13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</w:p>
        </w:tc>
        <w:tc>
          <w:tcPr>
            <w:tcW w:w="21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建设用地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99.38</w:t>
            </w: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城乡居民点建设用地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H11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城市建设用地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13.41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H14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村庄建设用地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21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非建设用地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0.62</w:t>
            </w: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农林用地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77CA2" w:rsidRPr="00130C52" w:rsidTr="00795C65">
        <w:trPr>
          <w:trHeight w:val="285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城乡用地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14.59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CA2" w:rsidRPr="00130C52" w:rsidRDefault="00777CA2" w:rsidP="00795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30C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</w:tbl>
    <w:p w:rsidR="00440700" w:rsidRPr="00A87117" w:rsidRDefault="00A87117" w:rsidP="00A87117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sz w:val="24"/>
          <w:szCs w:val="44"/>
        </w:rPr>
      </w:pPr>
      <w:r w:rsidRPr="00A87117">
        <w:rPr>
          <w:rFonts w:ascii="宋体" w:eastAsia="宋体" w:hAnsi="宋体" w:cs="Times New Roman" w:hint="eastAsia"/>
          <w:b/>
          <w:sz w:val="24"/>
          <w:szCs w:val="44"/>
        </w:rPr>
        <w:t>三</w:t>
      </w:r>
      <w:r w:rsidRPr="00A87117">
        <w:rPr>
          <w:rFonts w:ascii="宋体" w:eastAsia="宋体" w:hAnsi="宋体" w:cs="Times New Roman"/>
          <w:b/>
          <w:sz w:val="24"/>
          <w:szCs w:val="44"/>
        </w:rPr>
        <w:t>、</w:t>
      </w:r>
      <w:r w:rsidR="00B53050" w:rsidRPr="00A87117">
        <w:rPr>
          <w:rFonts w:ascii="宋体" w:eastAsia="宋体" w:hAnsi="宋体" w:cs="Times New Roman" w:hint="eastAsia"/>
          <w:b/>
          <w:sz w:val="24"/>
          <w:szCs w:val="44"/>
        </w:rPr>
        <w:t>建设用地使用强度主要控制指标</w:t>
      </w:r>
    </w:p>
    <w:p w:rsidR="00440700" w:rsidRPr="00603984" w:rsidRDefault="00B53050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44"/>
        </w:rPr>
      </w:pPr>
      <w:r w:rsidRPr="00603984">
        <w:rPr>
          <w:rFonts w:ascii="宋体" w:eastAsia="宋体" w:hAnsi="宋体" w:cs="Times New Roman"/>
          <w:sz w:val="24"/>
          <w:szCs w:val="44"/>
        </w:rPr>
        <w:t>考虑规划区整体空间意象和环境品质的塑造，确定地块控制指标的基准值。</w:t>
      </w:r>
    </w:p>
    <w:p w:rsidR="00440700" w:rsidRPr="00603984" w:rsidRDefault="00B53050">
      <w:pPr>
        <w:spacing w:line="360" w:lineRule="auto"/>
        <w:jc w:val="center"/>
        <w:rPr>
          <w:rFonts w:ascii="Times New Roman" w:hAnsi="Times New Roman"/>
          <w:sz w:val="24"/>
          <w:szCs w:val="21"/>
        </w:rPr>
      </w:pPr>
      <w:r w:rsidRPr="00603984">
        <w:rPr>
          <w:rFonts w:ascii="Times New Roman" w:hAnsi="Times New Roman"/>
          <w:sz w:val="24"/>
          <w:szCs w:val="21"/>
        </w:rPr>
        <w:t>表</w:t>
      </w:r>
      <w:r w:rsidRPr="00603984">
        <w:rPr>
          <w:rFonts w:ascii="Times New Roman" w:hAnsi="Times New Roman" w:hint="eastAsia"/>
          <w:sz w:val="24"/>
          <w:szCs w:val="21"/>
        </w:rPr>
        <w:t>3</w:t>
      </w:r>
      <w:r w:rsidRPr="00603984">
        <w:rPr>
          <w:rFonts w:ascii="Times New Roman" w:hAnsi="Times New Roman"/>
          <w:sz w:val="24"/>
          <w:szCs w:val="21"/>
        </w:rPr>
        <w:t>：各类用地指标控制表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7"/>
        <w:gridCol w:w="1702"/>
        <w:gridCol w:w="1486"/>
        <w:gridCol w:w="1541"/>
      </w:tblGrid>
      <w:tr w:rsidR="00440700">
        <w:trPr>
          <w:trHeight w:val="345"/>
        </w:trPr>
        <w:tc>
          <w:tcPr>
            <w:tcW w:w="1526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用地性质代码</w:t>
            </w:r>
          </w:p>
        </w:tc>
        <w:tc>
          <w:tcPr>
            <w:tcW w:w="2267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土地使用性质</w:t>
            </w:r>
          </w:p>
        </w:tc>
        <w:tc>
          <w:tcPr>
            <w:tcW w:w="1702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容积率</w:t>
            </w:r>
          </w:p>
        </w:tc>
        <w:tc>
          <w:tcPr>
            <w:tcW w:w="1486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建筑密度（%）</w:t>
            </w:r>
          </w:p>
        </w:tc>
        <w:tc>
          <w:tcPr>
            <w:tcW w:w="1541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Cs w:val="21"/>
              </w:rPr>
              <w:t>绿地率（%）</w:t>
            </w:r>
          </w:p>
        </w:tc>
      </w:tr>
      <w:tr w:rsidR="00440700">
        <w:trPr>
          <w:trHeight w:val="345"/>
        </w:trPr>
        <w:tc>
          <w:tcPr>
            <w:tcW w:w="1526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M2</w:t>
            </w:r>
          </w:p>
        </w:tc>
        <w:tc>
          <w:tcPr>
            <w:tcW w:w="2267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二类工业用地</w:t>
            </w:r>
          </w:p>
        </w:tc>
        <w:tc>
          <w:tcPr>
            <w:tcW w:w="1702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≥1.</w:t>
            </w:r>
            <w:r>
              <w:rPr>
                <w:rFonts w:asciiTheme="minorEastAsia" w:hAnsiTheme="minorEastAsia"/>
                <w:kern w:val="0"/>
                <w:szCs w:val="21"/>
              </w:rPr>
              <w:t>0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，≤3.0</w:t>
            </w:r>
          </w:p>
        </w:tc>
        <w:tc>
          <w:tcPr>
            <w:tcW w:w="1486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≥3</w:t>
            </w:r>
            <w:r>
              <w:rPr>
                <w:rFonts w:asciiTheme="minorEastAsia" w:hAnsiTheme="minorEastAsia"/>
                <w:kern w:val="0"/>
                <w:szCs w:val="21"/>
              </w:rPr>
              <w:t>0</w:t>
            </w:r>
          </w:p>
        </w:tc>
        <w:tc>
          <w:tcPr>
            <w:tcW w:w="1541" w:type="dxa"/>
            <w:vAlign w:val="center"/>
          </w:tcPr>
          <w:p w:rsidR="00440700" w:rsidRDefault="00720CD3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≤</w:t>
            </w:r>
            <w:r w:rsidR="00B53050">
              <w:rPr>
                <w:rFonts w:asciiTheme="minorEastAsia" w:hAnsiTheme="minorEastAsia"/>
                <w:kern w:val="0"/>
                <w:szCs w:val="21"/>
              </w:rPr>
              <w:t>20</w:t>
            </w:r>
          </w:p>
        </w:tc>
      </w:tr>
      <w:tr w:rsidR="00440700">
        <w:trPr>
          <w:trHeight w:val="345"/>
        </w:trPr>
        <w:tc>
          <w:tcPr>
            <w:tcW w:w="1526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H14</w:t>
            </w:r>
          </w:p>
        </w:tc>
        <w:tc>
          <w:tcPr>
            <w:tcW w:w="2267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村庄建设用地</w:t>
            </w:r>
          </w:p>
        </w:tc>
        <w:tc>
          <w:tcPr>
            <w:tcW w:w="1702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1.0</w:t>
            </w:r>
          </w:p>
        </w:tc>
        <w:tc>
          <w:tcPr>
            <w:tcW w:w="1486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35</w:t>
            </w:r>
          </w:p>
        </w:tc>
        <w:tc>
          <w:tcPr>
            <w:tcW w:w="1541" w:type="dxa"/>
            <w:vAlign w:val="center"/>
          </w:tcPr>
          <w:p w:rsidR="00440700" w:rsidRDefault="00B53050">
            <w:pPr>
              <w:widowControl/>
              <w:spacing w:line="276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25</w:t>
            </w:r>
          </w:p>
        </w:tc>
      </w:tr>
    </w:tbl>
    <w:p w:rsidR="00440700" w:rsidRPr="003C0579" w:rsidRDefault="00B5305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3C0579">
        <w:rPr>
          <w:rFonts w:ascii="宋体" w:eastAsia="宋体" w:hAnsi="宋体"/>
          <w:szCs w:val="21"/>
        </w:rPr>
        <w:t>注：表中容积率和建筑密度为上限值，</w:t>
      </w:r>
      <w:r w:rsidRPr="003C0579">
        <w:rPr>
          <w:rFonts w:ascii="宋体" w:eastAsia="宋体" w:hAnsi="宋体" w:hint="eastAsia"/>
          <w:szCs w:val="21"/>
        </w:rPr>
        <w:t>工业用地</w:t>
      </w:r>
      <w:r w:rsidRPr="003C0579">
        <w:rPr>
          <w:rFonts w:ascii="宋体" w:eastAsia="宋体" w:hAnsi="宋体"/>
          <w:szCs w:val="21"/>
        </w:rPr>
        <w:t>容积率按照区间值进行控制，</w:t>
      </w:r>
      <w:r w:rsidRPr="003C0579">
        <w:rPr>
          <w:rFonts w:ascii="宋体" w:eastAsia="宋体" w:hAnsi="宋体" w:hint="eastAsia"/>
          <w:szCs w:val="21"/>
        </w:rPr>
        <w:t>工业用地绿地率为上限值，其他用地</w:t>
      </w:r>
      <w:r w:rsidRPr="003C0579">
        <w:rPr>
          <w:rFonts w:ascii="宋体" w:eastAsia="宋体" w:hAnsi="宋体"/>
          <w:szCs w:val="21"/>
        </w:rPr>
        <w:t>绿地率为下限值。</w:t>
      </w:r>
    </w:p>
    <w:sectPr w:rsidR="00440700" w:rsidRPr="003C0579" w:rsidSect="00C11BE8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E8" w:rsidRDefault="00BD27E8" w:rsidP="00B620DA">
      <w:r>
        <w:separator/>
      </w:r>
    </w:p>
  </w:endnote>
  <w:endnote w:type="continuationSeparator" w:id="1">
    <w:p w:rsidR="00BD27E8" w:rsidRDefault="00BD27E8" w:rsidP="00B6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E8" w:rsidRDefault="00BD27E8" w:rsidP="00B620DA">
      <w:r>
        <w:separator/>
      </w:r>
    </w:p>
  </w:footnote>
  <w:footnote w:type="continuationSeparator" w:id="1">
    <w:p w:rsidR="00BD27E8" w:rsidRDefault="00BD27E8" w:rsidP="00B62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17B"/>
    <w:multiLevelType w:val="hybridMultilevel"/>
    <w:tmpl w:val="D6F27E44"/>
    <w:lvl w:ilvl="0" w:tplc="527AA06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F753C01"/>
    <w:multiLevelType w:val="hybridMultilevel"/>
    <w:tmpl w:val="FBEAFDF2"/>
    <w:lvl w:ilvl="0" w:tplc="822C32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6D8"/>
    <w:rsid w:val="000B40BB"/>
    <w:rsid w:val="000D75E8"/>
    <w:rsid w:val="003C0579"/>
    <w:rsid w:val="003D2023"/>
    <w:rsid w:val="00440700"/>
    <w:rsid w:val="004F7D63"/>
    <w:rsid w:val="00531790"/>
    <w:rsid w:val="00555067"/>
    <w:rsid w:val="005D58E4"/>
    <w:rsid w:val="00603984"/>
    <w:rsid w:val="00603B87"/>
    <w:rsid w:val="00617B84"/>
    <w:rsid w:val="00720CD3"/>
    <w:rsid w:val="0077409C"/>
    <w:rsid w:val="00777351"/>
    <w:rsid w:val="00777CA2"/>
    <w:rsid w:val="008107E4"/>
    <w:rsid w:val="0082645C"/>
    <w:rsid w:val="009046D8"/>
    <w:rsid w:val="009464F3"/>
    <w:rsid w:val="00A25271"/>
    <w:rsid w:val="00A87117"/>
    <w:rsid w:val="00A87DCA"/>
    <w:rsid w:val="00A90E72"/>
    <w:rsid w:val="00B462E1"/>
    <w:rsid w:val="00B53050"/>
    <w:rsid w:val="00B620DA"/>
    <w:rsid w:val="00B93B96"/>
    <w:rsid w:val="00BD27E8"/>
    <w:rsid w:val="00C11BE8"/>
    <w:rsid w:val="00C64E1A"/>
    <w:rsid w:val="00C70708"/>
    <w:rsid w:val="00CE2861"/>
    <w:rsid w:val="00D27F38"/>
    <w:rsid w:val="00D50003"/>
    <w:rsid w:val="00D941C5"/>
    <w:rsid w:val="00DB2EE4"/>
    <w:rsid w:val="00E07FC5"/>
    <w:rsid w:val="00ED090F"/>
    <w:rsid w:val="00EE029C"/>
    <w:rsid w:val="00F672BC"/>
    <w:rsid w:val="00FB2369"/>
    <w:rsid w:val="00FD7FDE"/>
    <w:rsid w:val="1EC5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50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41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41C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5506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rsid w:val="008107E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1B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1B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微软用户</cp:lastModifiedBy>
  <cp:revision>30</cp:revision>
  <cp:lastPrinted>2018-12-26T02:38:00Z</cp:lastPrinted>
  <dcterms:created xsi:type="dcterms:W3CDTF">2018-12-17T06:17:00Z</dcterms:created>
  <dcterms:modified xsi:type="dcterms:W3CDTF">2018-12-26T02:57:00Z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