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4"/>
        <w:rPr>
          <w:rFonts w:ascii="仿宋_GB2312" w:eastAsia="仿宋_GB2312" w:hAnsiTheme="majorEastAsia"/>
          <w:b/>
          <w:sz w:val="24"/>
          <w:szCs w:val="2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72"/>
          <w:szCs w:val="72"/>
        </w:rPr>
      </w:pPr>
      <w:r>
        <w:rPr>
          <w:rFonts w:hint="eastAsia" w:asciiTheme="majorEastAsia" w:hAnsiTheme="majorEastAsia" w:eastAsiaTheme="majorEastAsia"/>
          <w:b/>
          <w:sz w:val="72"/>
          <w:szCs w:val="72"/>
        </w:rPr>
        <w:t>丰顺县医疗保障局</w:t>
      </w:r>
    </w:p>
    <w:p>
      <w:pPr>
        <w:jc w:val="center"/>
        <w:rPr>
          <w:rFonts w:asciiTheme="majorEastAsia" w:hAnsiTheme="majorEastAsia" w:eastAsiaTheme="majorEastAsia"/>
          <w:b/>
          <w:sz w:val="72"/>
          <w:szCs w:val="72"/>
        </w:rPr>
      </w:pPr>
      <w:r>
        <w:rPr>
          <w:rFonts w:hint="eastAsia" w:asciiTheme="majorEastAsia" w:hAnsiTheme="majorEastAsia" w:eastAsiaTheme="majorEastAsia"/>
          <w:b/>
          <w:sz w:val="72"/>
          <w:szCs w:val="72"/>
        </w:rPr>
        <w:t>工作管理制度汇编</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（试行）</w:t>
      </w:r>
    </w:p>
    <w:p>
      <w:pPr>
        <w:jc w:val="center"/>
        <w:rPr>
          <w:rFonts w:ascii="仿宋_GB2312" w:eastAsia="仿宋_GB2312"/>
          <w:sz w:val="32"/>
          <w:szCs w:val="32"/>
        </w:rPr>
      </w:pPr>
      <w:r>
        <w:rPr>
          <w:rFonts w:hint="eastAsia" w:ascii="仿宋_GB2312" w:eastAsia="仿宋_GB2312"/>
          <w:sz w:val="32"/>
          <w:szCs w:val="32"/>
        </w:rPr>
        <w:t>（征求意见稿）</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600" w:lineRule="exact"/>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丰顺县医疗保障局</w:t>
      </w:r>
    </w:p>
    <w:p>
      <w:pPr>
        <w:spacing w:line="600" w:lineRule="exact"/>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2019年</w:t>
      </w:r>
      <w:r>
        <w:rPr>
          <w:rFonts w:hint="eastAsia" w:asciiTheme="majorEastAsia" w:hAnsiTheme="majorEastAsia" w:eastAsiaTheme="majorEastAsia"/>
          <w:sz w:val="32"/>
          <w:szCs w:val="32"/>
          <w:lang w:val="en-US" w:eastAsia="zh-CN"/>
        </w:rPr>
        <w:t>5</w:t>
      </w:r>
      <w:r>
        <w:rPr>
          <w:rFonts w:hint="eastAsia" w:asciiTheme="majorEastAsia" w:hAnsiTheme="majorEastAsia" w:eastAsiaTheme="majorEastAsia"/>
          <w:sz w:val="32"/>
          <w:szCs w:val="32"/>
        </w:rPr>
        <w:t>月</w:t>
      </w:r>
    </w:p>
    <w:p>
      <w:pPr>
        <w:pStyle w:val="25"/>
        <w:spacing w:before="0" w:line="600" w:lineRule="exact"/>
        <w:jc w:val="center"/>
      </w:pPr>
    </w:p>
    <w:p/>
    <w:p/>
    <w:p/>
    <w:p>
      <w:pPr>
        <w:adjustRightInd/>
        <w:snapToGrid/>
        <w:spacing w:after="0" w:line="600" w:lineRule="exact"/>
        <w:jc w:val="center"/>
        <w:rPr>
          <w:rFonts w:ascii="仿宋_GB2312" w:eastAsia="仿宋_GB2312"/>
          <w:sz w:val="32"/>
          <w:szCs w:val="32"/>
        </w:rPr>
      </w:pPr>
    </w:p>
    <w:p>
      <w:pPr>
        <w:adjustRightInd/>
        <w:snapToGrid/>
        <w:spacing w:after="0" w:line="600" w:lineRule="exact"/>
        <w:jc w:val="center"/>
        <w:rPr>
          <w:rFonts w:hint="eastAsia" w:ascii="仿宋" w:hAnsi="仿宋" w:eastAsia="仿宋" w:cs="仿宋"/>
          <w:b/>
          <w:sz w:val="32"/>
          <w:szCs w:val="32"/>
        </w:rPr>
      </w:pPr>
      <w:r>
        <w:rPr>
          <w:rFonts w:hint="eastAsia" w:ascii="仿宋" w:hAnsi="仿宋" w:eastAsia="仿宋" w:cs="仿宋"/>
          <w:b/>
          <w:sz w:val="32"/>
          <w:szCs w:val="32"/>
        </w:rPr>
        <w:t>目录</w:t>
      </w:r>
    </w:p>
    <w:p>
      <w:pPr>
        <w:adjustRightInd/>
        <w:snapToGrid/>
        <w:spacing w:after="0" w:line="600" w:lineRule="exact"/>
        <w:rPr>
          <w:rFonts w:ascii="仿宋_GB2312" w:eastAsia="仿宋_GB2312"/>
          <w:sz w:val="32"/>
          <w:szCs w:val="32"/>
        </w:rPr>
      </w:pPr>
    </w:p>
    <w:p>
      <w:pPr>
        <w:spacing w:line="600" w:lineRule="exact"/>
        <w:rPr>
          <w:rFonts w:ascii="仿宋_GB2312" w:eastAsia="仿宋_GB2312"/>
          <w:color w:val="auto"/>
          <w:sz w:val="30"/>
          <w:szCs w:val="30"/>
        </w:rPr>
      </w:pPr>
      <w:r>
        <w:rPr>
          <w:rFonts w:hint="eastAsia" w:ascii="仿宋_GB2312" w:eastAsia="仿宋_GB2312"/>
          <w:color w:val="auto"/>
          <w:sz w:val="30"/>
          <w:szCs w:val="30"/>
        </w:rPr>
        <w:t>一.</w:t>
      </w:r>
      <w:r>
        <w:rPr>
          <w:rFonts w:hint="eastAsia" w:ascii="仿宋" w:hAnsi="仿宋" w:eastAsia="仿宋" w:cs="仿宋"/>
          <w:color w:val="auto"/>
          <w:sz w:val="30"/>
          <w:szCs w:val="30"/>
        </w:rPr>
        <w:t>班子建设制度</w:t>
      </w:r>
      <w:r>
        <w:rPr>
          <w:rFonts w:eastAsia="仿宋_GB2312" w:cs="Tahoma"/>
          <w:color w:val="auto"/>
          <w:sz w:val="30"/>
          <w:szCs w:val="30"/>
        </w:rPr>
        <w:t>·························································</w:t>
      </w:r>
      <w:r>
        <w:rPr>
          <w:rFonts w:hint="eastAsia" w:eastAsia="仿宋_GB2312" w:cs="Tahoma"/>
          <w:color w:val="auto"/>
          <w:sz w:val="30"/>
          <w:szCs w:val="30"/>
          <w:lang w:val="en-US" w:eastAsia="zh-CN"/>
        </w:rPr>
        <w:t>5</w:t>
      </w:r>
      <w:r>
        <w:rPr>
          <w:rFonts w:hint="eastAsia" w:eastAsia="仿宋_GB2312" w:cs="Tahoma"/>
          <w:color w:val="auto"/>
          <w:sz w:val="30"/>
          <w:szCs w:val="30"/>
        </w:rPr>
        <w:t xml:space="preserve"> </w:t>
      </w:r>
    </w:p>
    <w:p>
      <w:pPr>
        <w:spacing w:line="600" w:lineRule="exact"/>
        <w:rPr>
          <w:rFonts w:hint="eastAsia" w:eastAsia="仿宋_GB2312" w:cs="Tahoma"/>
          <w:color w:val="auto"/>
          <w:sz w:val="30"/>
          <w:szCs w:val="30"/>
          <w:lang w:val="en-US" w:eastAsia="zh-CN"/>
        </w:rPr>
      </w:pPr>
      <w:r>
        <w:rPr>
          <w:rFonts w:hint="eastAsia" w:ascii="仿宋_GB2312" w:eastAsia="仿宋_GB2312"/>
          <w:color w:val="auto"/>
          <w:sz w:val="30"/>
          <w:szCs w:val="30"/>
        </w:rPr>
        <w:t>二.</w:t>
      </w:r>
      <w:r>
        <w:rPr>
          <w:rFonts w:hint="eastAsia" w:ascii="仿宋" w:hAnsi="仿宋" w:eastAsia="仿宋" w:cs="仿宋"/>
          <w:color w:val="auto"/>
          <w:sz w:val="30"/>
          <w:szCs w:val="30"/>
        </w:rPr>
        <w:t>党组中心组学习制度</w:t>
      </w:r>
      <w:r>
        <w:rPr>
          <w:rFonts w:eastAsia="仿宋_GB2312" w:cs="Tahoma"/>
          <w:color w:val="auto"/>
          <w:sz w:val="30"/>
          <w:szCs w:val="30"/>
        </w:rPr>
        <w:t>···········································</w:t>
      </w:r>
      <w:r>
        <w:rPr>
          <w:rFonts w:hint="eastAsia" w:eastAsia="仿宋_GB2312" w:cs="Tahoma"/>
          <w:color w:val="auto"/>
          <w:sz w:val="30"/>
          <w:szCs w:val="30"/>
          <w:lang w:val="en-US" w:eastAsia="zh-CN"/>
        </w:rPr>
        <w:t xml:space="preserve"> </w:t>
      </w:r>
    </w:p>
    <w:p>
      <w:pPr>
        <w:spacing w:line="600" w:lineRule="exact"/>
        <w:rPr>
          <w:rFonts w:hint="eastAsia" w:ascii="仿宋_GB2312" w:hAnsi="宋体" w:eastAsia="仿宋_GB2312"/>
          <w:color w:val="auto"/>
          <w:sz w:val="30"/>
          <w:szCs w:val="30"/>
          <w:lang w:val="en-US" w:eastAsia="zh-CN"/>
        </w:rPr>
      </w:pPr>
      <w:r>
        <w:rPr>
          <w:rFonts w:hint="eastAsia" w:ascii="仿宋_GB2312" w:eastAsia="仿宋_GB2312"/>
          <w:color w:val="auto"/>
          <w:sz w:val="30"/>
          <w:szCs w:val="30"/>
        </w:rPr>
        <w:t>三.</w:t>
      </w:r>
      <w:r>
        <w:rPr>
          <w:rFonts w:hint="eastAsia" w:ascii="仿宋" w:hAnsi="仿宋" w:eastAsia="仿宋" w:cs="仿宋"/>
          <w:color w:val="auto"/>
          <w:sz w:val="30"/>
          <w:szCs w:val="30"/>
        </w:rPr>
        <w:t>党支部三会一课制度</w:t>
      </w:r>
      <w:r>
        <w:rPr>
          <w:rFonts w:eastAsia="仿宋_GB2312" w:cs="Tahoma"/>
          <w:color w:val="auto"/>
          <w:sz w:val="30"/>
          <w:szCs w:val="30"/>
        </w:rPr>
        <w:t>·················································</w:t>
      </w:r>
      <w:r>
        <w:rPr>
          <w:rFonts w:hint="eastAsia" w:eastAsia="仿宋_GB2312" w:cs="Tahoma"/>
          <w:color w:val="auto"/>
          <w:sz w:val="30"/>
          <w:szCs w:val="30"/>
          <w:lang w:val="en-US" w:eastAsia="zh-CN"/>
        </w:rPr>
        <w:t>8</w:t>
      </w:r>
    </w:p>
    <w:p>
      <w:pPr>
        <w:spacing w:line="600" w:lineRule="exact"/>
        <w:rPr>
          <w:rFonts w:hint="default" w:ascii="仿宋_GB2312" w:eastAsia="仿宋_GB2312"/>
          <w:color w:val="auto"/>
          <w:sz w:val="30"/>
          <w:szCs w:val="30"/>
          <w:lang w:val="en-US" w:eastAsia="zh-CN"/>
        </w:rPr>
      </w:pPr>
      <w:r>
        <w:rPr>
          <w:rFonts w:hint="eastAsia" w:ascii="仿宋_GB2312" w:eastAsia="仿宋_GB2312"/>
          <w:color w:val="auto"/>
          <w:sz w:val="30"/>
          <w:szCs w:val="30"/>
        </w:rPr>
        <w:t>四.</w:t>
      </w:r>
      <w:r>
        <w:rPr>
          <w:rFonts w:hint="eastAsia" w:ascii="仿宋" w:hAnsi="仿宋" w:eastAsia="仿宋" w:cs="仿宋"/>
          <w:color w:val="auto"/>
          <w:sz w:val="30"/>
          <w:szCs w:val="30"/>
        </w:rPr>
        <w:t>会议制度</w:t>
      </w:r>
      <w:r>
        <w:rPr>
          <w:rFonts w:eastAsia="仿宋_GB2312" w:cs="Tahoma"/>
          <w:color w:val="auto"/>
          <w:sz w:val="30"/>
          <w:szCs w:val="30"/>
        </w:rPr>
        <w:t>······························································</w:t>
      </w:r>
      <w:r>
        <w:rPr>
          <w:rFonts w:hint="eastAsia" w:eastAsia="仿宋_GB2312" w:cs="Tahoma"/>
          <w:color w:val="auto"/>
          <w:sz w:val="30"/>
          <w:szCs w:val="30"/>
          <w:lang w:val="en-US" w:eastAsia="zh-CN"/>
        </w:rPr>
        <w:t>11</w:t>
      </w:r>
    </w:p>
    <w:p>
      <w:pPr>
        <w:spacing w:line="600" w:lineRule="exact"/>
        <w:rPr>
          <w:rFonts w:hint="default" w:ascii="仿宋_GB2312" w:eastAsia="仿宋_GB2312"/>
          <w:color w:val="auto"/>
          <w:sz w:val="30"/>
          <w:szCs w:val="30"/>
          <w:lang w:val="en-US" w:eastAsia="zh-CN"/>
        </w:rPr>
      </w:pPr>
      <w:r>
        <w:rPr>
          <w:rFonts w:hint="eastAsia" w:ascii="仿宋_GB2312" w:eastAsia="仿宋_GB2312"/>
          <w:color w:val="auto"/>
          <w:sz w:val="30"/>
          <w:szCs w:val="30"/>
        </w:rPr>
        <w:t>五.</w:t>
      </w:r>
      <w:r>
        <w:rPr>
          <w:rFonts w:hint="eastAsia" w:ascii="仿宋" w:hAnsi="仿宋" w:eastAsia="仿宋" w:cs="仿宋"/>
          <w:color w:val="auto"/>
          <w:sz w:val="30"/>
          <w:szCs w:val="30"/>
        </w:rPr>
        <w:t>局党组会议议事规则</w:t>
      </w:r>
      <w:r>
        <w:rPr>
          <w:rFonts w:eastAsia="仿宋_GB2312" w:cs="Tahoma"/>
          <w:color w:val="auto"/>
          <w:sz w:val="30"/>
          <w:szCs w:val="30"/>
        </w:rPr>
        <w:t>·················································</w:t>
      </w:r>
      <w:r>
        <w:rPr>
          <w:rFonts w:hint="eastAsia" w:eastAsia="仿宋_GB2312" w:cs="Tahoma"/>
          <w:color w:val="auto"/>
          <w:sz w:val="30"/>
          <w:szCs w:val="30"/>
          <w:lang w:val="en-US" w:eastAsia="zh-CN"/>
        </w:rPr>
        <w:t>14</w:t>
      </w:r>
    </w:p>
    <w:p>
      <w:pPr>
        <w:spacing w:line="600" w:lineRule="exact"/>
        <w:rPr>
          <w:rFonts w:eastAsia="仿宋_GB2312" w:cs="Tahoma"/>
          <w:color w:val="auto"/>
          <w:sz w:val="30"/>
          <w:szCs w:val="30"/>
        </w:rPr>
      </w:pPr>
      <w:r>
        <w:rPr>
          <w:rFonts w:hint="eastAsia" w:ascii="仿宋_GB2312" w:eastAsia="仿宋_GB2312"/>
          <w:color w:val="auto"/>
          <w:sz w:val="30"/>
          <w:szCs w:val="30"/>
        </w:rPr>
        <w:t>六.</w:t>
      </w:r>
      <w:r>
        <w:rPr>
          <w:rFonts w:hint="eastAsia" w:ascii="仿宋" w:hAnsi="仿宋" w:eastAsia="仿宋" w:cs="仿宋"/>
          <w:color w:val="auto"/>
          <w:sz w:val="30"/>
          <w:szCs w:val="30"/>
        </w:rPr>
        <w:t>局长办公会议事规则</w:t>
      </w:r>
      <w:r>
        <w:rPr>
          <w:rFonts w:eastAsia="仿宋_GB2312" w:cs="Tahoma"/>
          <w:color w:val="auto"/>
          <w:sz w:val="30"/>
          <w:szCs w:val="30"/>
        </w:rPr>
        <w:t>·····················································</w:t>
      </w:r>
      <w:r>
        <w:rPr>
          <w:rFonts w:hint="eastAsia" w:eastAsia="仿宋_GB2312" w:cs="Tahoma"/>
          <w:color w:val="auto"/>
          <w:sz w:val="30"/>
          <w:szCs w:val="30"/>
        </w:rPr>
        <w:t xml:space="preserve"> </w:t>
      </w:r>
    </w:p>
    <w:p>
      <w:pPr>
        <w:spacing w:line="600" w:lineRule="exact"/>
        <w:rPr>
          <w:rFonts w:ascii="仿宋_GB2312" w:eastAsia="仿宋_GB2312"/>
          <w:color w:val="auto"/>
          <w:sz w:val="30"/>
          <w:szCs w:val="30"/>
        </w:rPr>
      </w:pPr>
      <w:r>
        <w:rPr>
          <w:rFonts w:hint="eastAsia" w:ascii="仿宋_GB2312" w:eastAsia="仿宋_GB2312"/>
          <w:color w:val="auto"/>
          <w:sz w:val="30"/>
          <w:szCs w:val="30"/>
        </w:rPr>
        <w:t>七.重大行政决策专家咨询论证制度</w:t>
      </w:r>
      <w:r>
        <w:rPr>
          <w:rFonts w:eastAsia="仿宋_GB2312" w:cs="Tahoma"/>
          <w:color w:val="auto"/>
          <w:sz w:val="30"/>
          <w:szCs w:val="30"/>
        </w:rPr>
        <w:t>······································</w:t>
      </w:r>
    </w:p>
    <w:p>
      <w:pPr>
        <w:spacing w:line="600" w:lineRule="exact"/>
        <w:rPr>
          <w:rFonts w:eastAsia="仿宋_GB2312" w:cs="Tahoma"/>
          <w:color w:val="auto"/>
          <w:sz w:val="30"/>
          <w:szCs w:val="30"/>
        </w:rPr>
      </w:pPr>
      <w:r>
        <w:rPr>
          <w:rFonts w:hint="eastAsia" w:ascii="仿宋_GB2312" w:eastAsia="仿宋_GB2312"/>
          <w:color w:val="auto"/>
          <w:sz w:val="30"/>
          <w:szCs w:val="30"/>
        </w:rPr>
        <w:t>八.重大行政决策制定实施办法</w:t>
      </w:r>
      <w:r>
        <w:rPr>
          <w:rFonts w:eastAsia="仿宋_GB2312" w:cs="Tahoma"/>
          <w:color w:val="auto"/>
          <w:sz w:val="30"/>
          <w:szCs w:val="30"/>
        </w:rPr>
        <w:t>···········································</w:t>
      </w:r>
    </w:p>
    <w:p>
      <w:pPr>
        <w:spacing w:line="600" w:lineRule="exact"/>
        <w:rPr>
          <w:rFonts w:eastAsia="仿宋_GB2312" w:cs="Tahoma"/>
          <w:color w:val="auto"/>
          <w:sz w:val="30"/>
          <w:szCs w:val="30"/>
        </w:rPr>
      </w:pPr>
      <w:r>
        <w:rPr>
          <w:rFonts w:hint="eastAsia" w:ascii="仿宋_GB2312" w:eastAsia="仿宋_GB2312"/>
          <w:color w:val="auto"/>
          <w:sz w:val="30"/>
          <w:szCs w:val="30"/>
        </w:rPr>
        <w:t>九.重大行政决策责任追究制度</w:t>
      </w:r>
      <w:r>
        <w:rPr>
          <w:rFonts w:eastAsia="仿宋_GB2312" w:cs="Tahoma"/>
          <w:color w:val="auto"/>
          <w:sz w:val="30"/>
          <w:szCs w:val="30"/>
        </w:rPr>
        <w:t>···········································</w:t>
      </w:r>
    </w:p>
    <w:p>
      <w:pPr>
        <w:spacing w:line="600" w:lineRule="exact"/>
        <w:rPr>
          <w:rFonts w:eastAsia="仿宋_GB2312" w:cs="Tahoma"/>
          <w:color w:val="auto"/>
          <w:sz w:val="30"/>
          <w:szCs w:val="30"/>
        </w:rPr>
      </w:pPr>
      <w:r>
        <w:rPr>
          <w:rFonts w:hint="eastAsia" w:ascii="仿宋_GB2312" w:eastAsia="仿宋_GB2312"/>
          <w:color w:val="auto"/>
          <w:sz w:val="30"/>
          <w:szCs w:val="30"/>
        </w:rPr>
        <w:t>十、重大行政决策听取意见制度</w:t>
      </w:r>
      <w:r>
        <w:rPr>
          <w:rFonts w:eastAsia="仿宋_GB2312" w:cs="Tahoma"/>
          <w:color w:val="auto"/>
          <w:sz w:val="30"/>
          <w:szCs w:val="30"/>
        </w:rPr>
        <w:t>··········································</w:t>
      </w:r>
    </w:p>
    <w:p>
      <w:pPr>
        <w:spacing w:line="600" w:lineRule="exact"/>
        <w:rPr>
          <w:rFonts w:eastAsia="仿宋_GB2312" w:cs="Tahoma"/>
          <w:color w:val="auto"/>
          <w:sz w:val="30"/>
          <w:szCs w:val="30"/>
        </w:rPr>
      </w:pPr>
      <w:r>
        <w:rPr>
          <w:rFonts w:hint="eastAsia" w:ascii="仿宋_GB2312" w:eastAsia="仿宋_GB2312"/>
          <w:color w:val="auto"/>
          <w:sz w:val="30"/>
          <w:szCs w:val="30"/>
        </w:rPr>
        <w:t>十一.重大行政决策实施情况后评价制度</w:t>
      </w:r>
      <w:r>
        <w:rPr>
          <w:rFonts w:eastAsia="仿宋_GB2312" w:cs="Tahoma"/>
          <w:color w:val="auto"/>
          <w:sz w:val="30"/>
          <w:szCs w:val="30"/>
        </w:rPr>
        <w:t>···································</w:t>
      </w:r>
    </w:p>
    <w:p>
      <w:pPr>
        <w:spacing w:line="600" w:lineRule="exact"/>
        <w:rPr>
          <w:rFonts w:eastAsia="仿宋_GB2312" w:cs="Tahoma"/>
          <w:color w:val="auto"/>
          <w:sz w:val="30"/>
          <w:szCs w:val="30"/>
        </w:rPr>
      </w:pPr>
      <w:r>
        <w:rPr>
          <w:rFonts w:hint="eastAsia" w:ascii="仿宋_GB2312" w:eastAsia="仿宋_GB2312"/>
          <w:color w:val="auto"/>
          <w:sz w:val="30"/>
          <w:szCs w:val="30"/>
        </w:rPr>
        <w:t>十二.重大行政决策集体决定制度</w:t>
      </w:r>
      <w:r>
        <w:rPr>
          <w:rFonts w:eastAsia="仿宋_GB2312" w:cs="Tahoma"/>
          <w:color w:val="auto"/>
          <w:sz w:val="30"/>
          <w:szCs w:val="30"/>
        </w:rPr>
        <w:t>···········································</w:t>
      </w:r>
    </w:p>
    <w:p>
      <w:pPr>
        <w:spacing w:line="600" w:lineRule="exact"/>
        <w:rPr>
          <w:rFonts w:eastAsia="仿宋_GB2312" w:cs="Tahoma"/>
          <w:color w:val="auto"/>
          <w:sz w:val="30"/>
          <w:szCs w:val="30"/>
        </w:rPr>
      </w:pPr>
      <w:r>
        <w:rPr>
          <w:rFonts w:hint="eastAsia" w:ascii="仿宋_GB2312" w:eastAsia="仿宋_GB2312"/>
          <w:color w:val="auto"/>
          <w:sz w:val="30"/>
          <w:szCs w:val="30"/>
        </w:rPr>
        <w:t>十三.</w:t>
      </w:r>
      <w:r>
        <w:rPr>
          <w:rFonts w:hint="eastAsia" w:ascii="仿宋" w:hAnsi="仿宋" w:eastAsia="仿宋" w:cs="仿宋"/>
          <w:color w:val="auto"/>
          <w:sz w:val="30"/>
          <w:szCs w:val="30"/>
        </w:rPr>
        <w:t>重大行政决策风险评估制度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十四.</w:t>
      </w:r>
      <w:r>
        <w:rPr>
          <w:rFonts w:hint="eastAsia" w:ascii="仿宋" w:hAnsi="仿宋" w:eastAsia="仿宋" w:cs="仿宋"/>
          <w:color w:val="auto"/>
          <w:sz w:val="30"/>
          <w:szCs w:val="30"/>
        </w:rPr>
        <w:t>政府信息公开制度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十五.</w:t>
      </w:r>
      <w:r>
        <w:rPr>
          <w:rFonts w:hint="eastAsia" w:ascii="仿宋" w:hAnsi="仿宋" w:eastAsia="仿宋" w:cs="仿宋"/>
          <w:color w:val="auto"/>
          <w:sz w:val="30"/>
          <w:szCs w:val="30"/>
        </w:rPr>
        <w:t>政府信息公开保密审查制度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十六.学习制度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十七.公文办理制度</w:t>
      </w:r>
      <w:r>
        <w:rPr>
          <w:rFonts w:eastAsia="仿宋_GB2312" w:cs="Tahoma"/>
          <w:color w:val="auto"/>
          <w:spacing w:val="4"/>
          <w:sz w:val="30"/>
          <w:szCs w:val="30"/>
        </w:rPr>
        <w:t>····························</w:t>
      </w:r>
      <w:r>
        <w:rPr>
          <w:rFonts w:eastAsia="仿宋_GB2312" w:cs="Tahoma"/>
          <w:color w:val="auto"/>
          <w:sz w:val="30"/>
          <w:szCs w:val="30"/>
        </w:rPr>
        <w:t>······</w:t>
      </w:r>
      <w:r>
        <w:rPr>
          <w:rFonts w:eastAsia="仿宋_GB2312" w:cs="Tahoma"/>
          <w:color w:val="auto"/>
          <w:spacing w:val="4"/>
          <w:sz w:val="30"/>
          <w:szCs w:val="30"/>
        </w:rPr>
        <w:t>···</w:t>
      </w:r>
      <w:r>
        <w:rPr>
          <w:rFonts w:eastAsia="仿宋_GB2312" w:cs="Tahoma"/>
          <w:color w:val="auto"/>
          <w:sz w:val="30"/>
          <w:szCs w:val="30"/>
        </w:rPr>
        <w:t>·</w:t>
      </w:r>
      <w:r>
        <w:rPr>
          <w:rFonts w:eastAsia="仿宋_GB2312" w:cs="Tahoma"/>
          <w:color w:val="auto"/>
          <w:spacing w:val="4"/>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十八.保密工作制度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十九.接待群众来访工作制度</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二十.督查督办工作制度</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二十一.印章使用管理制度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二十二.网站维护管理工作制度</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二十三.新闻媒体采访接待制度</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二十四.编外聘用人员管理办法</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二十五.工作人员考勤、请销假及外出报告管理制度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二十六.财务管理制度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二十七.公务卡管理使用办法</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二十八.固定资产管理制度</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二十九.合同管理制度</w:t>
      </w:r>
      <w:r>
        <w:rPr>
          <w:rFonts w:eastAsia="仿宋_GB2312" w:cs="Tahoma"/>
          <w:color w:val="auto"/>
          <w:sz w:val="30"/>
          <w:szCs w:val="30"/>
        </w:rPr>
        <w:t>············································</w:t>
      </w:r>
      <w:r>
        <w:rPr>
          <w:rFonts w:eastAsia="仿宋_GB2312"/>
          <w:color w:val="auto"/>
          <w:sz w:val="30"/>
          <w:szCs w:val="30"/>
        </w:rPr>
        <w:t>·</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三十.政府采购管理制度</w:t>
      </w:r>
      <w:r>
        <w:rPr>
          <w:rFonts w:eastAsia="仿宋_GB2312" w:cs="Tahoma"/>
          <w:color w:val="auto"/>
          <w:sz w:val="30"/>
          <w:szCs w:val="30"/>
        </w:rPr>
        <w:t>·············································</w:t>
      </w:r>
      <w:r>
        <w:rPr>
          <w:rFonts w:eastAsia="仿宋_GB2312"/>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三十一.公务接待管理规定</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三十二. 差旅费管理规定</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三十三.会议费管理规定</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三十四.机关工会慰问制度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三十五.工作人员纪律规定</w:t>
      </w:r>
      <w:r>
        <w:rPr>
          <w:rFonts w:eastAsia="仿宋_GB2312" w:cs="Tahoma"/>
          <w:color w:val="auto"/>
          <w:spacing w:val="2"/>
          <w:sz w:val="30"/>
          <w:szCs w:val="30"/>
        </w:rPr>
        <w:t>········</w:t>
      </w:r>
      <w:r>
        <w:rPr>
          <w:rFonts w:eastAsia="仿宋_GB2312" w:cs="Tahoma"/>
          <w:color w:val="auto"/>
          <w:sz w:val="30"/>
          <w:szCs w:val="30"/>
        </w:rPr>
        <w:t>······</w:t>
      </w:r>
      <w:r>
        <w:rPr>
          <w:rFonts w:eastAsia="仿宋_GB2312" w:cs="Tahoma"/>
          <w:color w:val="auto"/>
          <w:spacing w:val="2"/>
          <w:sz w:val="30"/>
          <w:szCs w:val="30"/>
        </w:rPr>
        <w:t>·····</w:t>
      </w:r>
      <w:r>
        <w:rPr>
          <w:rFonts w:eastAsia="仿宋_GB2312" w:cs="Tahoma"/>
          <w:color w:val="auto"/>
          <w:sz w:val="30"/>
          <w:szCs w:val="30"/>
        </w:rPr>
        <w:t>·</w:t>
      </w:r>
      <w:r>
        <w:rPr>
          <w:rFonts w:eastAsia="仿宋_GB2312" w:cs="Tahoma"/>
          <w:color w:val="auto"/>
          <w:spacing w:val="2"/>
          <w:sz w:val="30"/>
          <w:szCs w:val="30"/>
        </w:rPr>
        <w:t>·············</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三十六.局领导带班制度</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三十七.服务承诺制</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三十八.首问责任制</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三十九.限时办结制</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四十.一次性告知制</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四十一.岗位责任制</w:t>
      </w:r>
      <w:r>
        <w:rPr>
          <w:rFonts w:eastAsia="仿宋_GB2312" w:cs="Tahoma"/>
          <w:color w:val="auto"/>
          <w:sz w:val="30"/>
          <w:szCs w:val="30"/>
        </w:rPr>
        <w:t>························································</w:t>
      </w:r>
    </w:p>
    <w:p>
      <w:pPr>
        <w:spacing w:line="600" w:lineRule="exact"/>
        <w:rPr>
          <w:rFonts w:ascii="仿宋_GB2312" w:eastAsia="仿宋_GB2312"/>
          <w:color w:val="auto"/>
          <w:sz w:val="30"/>
          <w:szCs w:val="30"/>
        </w:rPr>
      </w:pPr>
      <w:r>
        <w:rPr>
          <w:rFonts w:hint="eastAsia" w:ascii="仿宋_GB2312" w:eastAsia="仿宋_GB2312"/>
          <w:color w:val="auto"/>
          <w:sz w:val="30"/>
          <w:szCs w:val="30"/>
        </w:rPr>
        <w:t>四十二.AB岗工作制</w:t>
      </w:r>
      <w:r>
        <w:rPr>
          <w:rFonts w:eastAsia="仿宋_GB2312" w:cs="Tahoma"/>
          <w:color w:val="auto"/>
          <w:sz w:val="30"/>
          <w:szCs w:val="30"/>
        </w:rPr>
        <w:t>······················································</w:t>
      </w:r>
    </w:p>
    <w:p>
      <w:pPr>
        <w:adjustRightInd/>
        <w:snapToGrid/>
        <w:spacing w:after="0" w:line="600" w:lineRule="exact"/>
        <w:rPr>
          <w:rFonts w:ascii="仿宋_GB2312" w:eastAsia="仿宋_GB2312"/>
          <w:color w:val="auto"/>
          <w:sz w:val="30"/>
          <w:szCs w:val="30"/>
        </w:rPr>
      </w:pPr>
      <w:r>
        <w:rPr>
          <w:rFonts w:hint="eastAsia" w:ascii="仿宋_GB2312" w:eastAsia="仿宋_GB2312"/>
          <w:color w:val="auto"/>
          <w:sz w:val="30"/>
          <w:szCs w:val="30"/>
        </w:rPr>
        <w:t>四十三.窗口文明服务规范用语</w:t>
      </w:r>
      <w:r>
        <w:rPr>
          <w:rFonts w:eastAsia="仿宋_GB2312" w:cs="Tahoma"/>
          <w:color w:val="auto"/>
          <w:sz w:val="30"/>
          <w:szCs w:val="30"/>
        </w:rPr>
        <w:t>········································</w:t>
      </w: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rPr>
          <w:rFonts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班子建设制度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为进一步加强领导班子建设，不断强化领导班子立党为公、执政为民的意识，规范领导干部的言行，增强领导班子的凝聚力和战斗力，提高领导干部的执政能力和领导水平，结合本局实际，制定如下制度。</w:t>
      </w:r>
    </w:p>
    <w:p>
      <w:pPr>
        <w:adjustRightInd/>
        <w:snapToGrid/>
        <w:spacing w:after="0" w:line="600" w:lineRule="exact"/>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一、坚持理论学习制度，提高班子成员的思想理论素质</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提高学习的自觉性。班子成员要自觉认真学习习近平新时代中国特色社会主义思想；认真学习《中国共产党章程》和党内重要规章制度；认真学习党中央、国务院和中央领导同志的重要讲话、批示、指示精神，学习省、市重要会议、文件和重大工作部署；学习市场经济理论、现代管理知识、业务知识和法律知识，提高领导班子驾驭复杂局面和解决实际问题的能力。</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积极参加本局党组理论学习中心组的学习。认真落实局党组理论学习中心组学习计划。学习采取集中学习与个人自学，务实与务虚相结合的方式进行。集中学习要做到议题明确，重点突出，每次解决1-2个实际问题。</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发扬理论联系实际的学风。紧密联系本单位的实际和个人的思想工作实际，加强理论、业务学习，不断提高班子成员的政治理论素质，增强贯彻执行党的路线、方针、政策的自觉性，增强政治敏锐性、鉴别力。</w:t>
      </w:r>
    </w:p>
    <w:p>
      <w:pPr>
        <w:adjustRightInd/>
        <w:snapToGrid/>
        <w:spacing w:after="0" w:line="600" w:lineRule="exact"/>
        <w:ind w:firstLine="643" w:firstLineChars="200"/>
        <w:rPr>
          <w:rFonts w:ascii="仿宋" w:hAnsi="仿宋" w:eastAsia="仿宋"/>
          <w:color w:val="auto"/>
          <w:sz w:val="32"/>
          <w:szCs w:val="32"/>
        </w:rPr>
      </w:pPr>
      <w:r>
        <w:rPr>
          <w:rFonts w:hint="eastAsia" w:ascii="仿宋" w:hAnsi="仿宋" w:eastAsia="仿宋"/>
          <w:b/>
          <w:bCs/>
          <w:color w:val="auto"/>
          <w:sz w:val="32"/>
          <w:szCs w:val="32"/>
        </w:rPr>
        <w:t>二、坚持党的民主集中制，实行决策民主化、科学化</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坚持集体讨论，民主决策的原则。严格坚持“集体领导，民主集中，个人酝酿，会议决定”的原则，凡重大事项决策、重要干部任免、重要项目安排、大额资金的使用，必须通过局领导班子会议集体研究决定，实现决策民主化。</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（二）决策要充分体现群众意愿。在重大问题决策之前，要深入进行调查研究，充分听取干部群众的意见，做到没有经过认真调查研究不决策，没有经过可行性研究不决策，实现决策科学化。</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实行集体领导与个人分工负责制。领导班子要坚持实行集体领导下的分工负责制，对每项重大决策要指定具体负责人，负责督促、检查、落实，随时掌握和反馈有关情况，及时研究和解决决策实施过程中出现的各种问题。</w:t>
      </w:r>
    </w:p>
    <w:p>
      <w:pPr>
        <w:adjustRightInd/>
        <w:snapToGrid/>
        <w:spacing w:after="0" w:line="600" w:lineRule="exact"/>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三、健全民主生活会制度，及时解决班子自身存在的问题</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（一）落实会议的时间、内容。领导班子及成员的民主生活会原则上每年召开一次。着重解决领导班子和领导成员在党性、党风和工作中存在的主要问题。</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（二）做好会前准备。充分做好民主生活会的会前准备工作。通过印发征求意见表、召开座谈会和个别谈话等形式，广泛征求干部群众的意见和建议，做好归纳、整理，及时反馈给每个班子成员。</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开展积极的批评和自我批评。在民主生活会上，班子成员要本着以人为善、以工作为重的态度，认真进行思想交流，针对各自在党性党风和廉政建设等方面存在的问题和干部群众提出的意见，开展积极健康的批评和自我批评。通过分析问题，谈认识，找原因，挖根源，吸取教训，研究整改，达到解决问题、共同提高的目的。</w:t>
      </w:r>
    </w:p>
    <w:p>
      <w:pPr>
        <w:adjustRightInd/>
        <w:snapToGrid/>
        <w:spacing w:after="0" w:line="600" w:lineRule="exact"/>
        <w:ind w:firstLine="643" w:firstLineChars="200"/>
        <w:rPr>
          <w:rFonts w:ascii="仿宋" w:hAnsi="仿宋" w:eastAsia="仿宋"/>
          <w:b/>
          <w:bCs/>
          <w:color w:val="auto"/>
          <w:sz w:val="32"/>
          <w:szCs w:val="32"/>
        </w:rPr>
      </w:pPr>
      <w:r>
        <w:rPr>
          <w:rFonts w:hint="eastAsia" w:ascii="仿宋" w:hAnsi="仿宋" w:eastAsia="仿宋"/>
          <w:b/>
          <w:bCs/>
          <w:color w:val="auto"/>
          <w:sz w:val="32"/>
          <w:szCs w:val="32"/>
        </w:rPr>
        <w:t>四、落实党风廉政建设责任制，带头廉洁自律</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（一）落实责任人的职责。加强党风廉政制度建设，制定《党风廉政建设主体责任清单》明确每个班子成员的责任范围。要认真落实责任人的职责，按规定的职责要求，抓好局机关党风廉政制度的落实。</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坚持廉洁从政，依法办事。认真贯彻落实执法责任制，加大依法执政力度，严肃工作纪律，提高工作透明度，自觉接受群众监督，反对弄虚作假、徇私舞弊办人情事，防范以工作之便以权谋私、搞钱权交易。</w:t>
      </w:r>
    </w:p>
    <w:p>
      <w:pPr>
        <w:adjustRightInd/>
        <w:snapToGrid/>
        <w:spacing w:after="0"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廉洁自律，为人表率。领导班子成员要自觉争当领导干部廉洁自律的模范。不参加公款消费的娱乐活动，不参加有碍公务的宴请，不接受单位和个人的礼金、贵重礼品和有价证券等。同时，要管好下属干部和家属，不要利用自己的职位和影响，为亲友、为本人谋取利益。</w:t>
      </w:r>
    </w:p>
    <w:p>
      <w:pPr>
        <w:adjustRightInd/>
        <w:snapToGrid/>
        <w:spacing w:after="0" w:line="600" w:lineRule="exact"/>
        <w:rPr>
          <w:rFonts w:asciiTheme="majorEastAsia" w:hAnsiTheme="majorEastAsia" w:eastAsiaTheme="majorEastAsia"/>
          <w:b/>
          <w:color w:val="auto"/>
          <w:sz w:val="32"/>
          <w:szCs w:val="32"/>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Theme="majorEastAsia" w:hAnsiTheme="majorEastAsia" w:eastAsiaTheme="majorEastAsia" w:cstheme="majorEastAsia"/>
          <w:b/>
          <w:bCs w:val="0"/>
          <w:i w:val="0"/>
          <w:caps w:val="0"/>
          <w:color w:val="auto"/>
          <w:spacing w:val="0"/>
          <w:sz w:val="44"/>
          <w:szCs w:val="44"/>
          <w:u w:val="none"/>
          <w:bdr w:val="none" w:color="auto" w:sz="0" w:space="0"/>
          <w:shd w:val="clear" w:fill="FFFFFF"/>
        </w:rPr>
      </w:pPr>
      <w:bookmarkStart w:id="0" w:name="_Toc517866065"/>
      <w:r>
        <w:rPr>
          <w:rFonts w:hint="eastAsia" w:asciiTheme="majorEastAsia" w:hAnsiTheme="majorEastAsia" w:eastAsiaTheme="majorEastAsia" w:cstheme="majorEastAsia"/>
          <w:b/>
          <w:bCs w:val="0"/>
          <w:i w:val="0"/>
          <w:caps w:val="0"/>
          <w:color w:val="auto"/>
          <w:spacing w:val="0"/>
          <w:sz w:val="44"/>
          <w:szCs w:val="44"/>
          <w:u w:val="none"/>
          <w:bdr w:val="none" w:color="auto" w:sz="0" w:space="0"/>
          <w:shd w:val="clear" w:fill="FFFFFF"/>
        </w:rPr>
        <w:t>局党组理论学习中心组学习制度</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ascii="仿宋_GB2312" w:hAnsi="Calibri" w:eastAsia="仿宋_GB2312" w:cs="仿宋_GB2312"/>
          <w:i w:val="0"/>
          <w:caps w:val="0"/>
          <w:color w:val="000000"/>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为进一步推进局党组理论学习中心组学习制度化、规范化，推动理论武装工作深入开展，提高领导干部的理论水平和工作能力，加强领导班子思想政治建设，根据《中国共产党党委（党组）理论学习中心组学习规则》、《广东省党委（党组）理论学习中心组学习办法》和《丰顺县党委（党组）理论学习中心组学习制度》等党内法规，结合我局实际，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bdr w:val="none" w:color="auto" w:sz="0" w:space="0"/>
          <w:shd w:val="clear" w:fill="FFFFFF"/>
          <w:lang w:val="en-US" w:eastAsia="zh-CN" w:bidi="ar"/>
        </w:rPr>
        <w:t>一、学习意义及适用范围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一）党组理论学习中心组学习，是局党组领导班子和领导干部在职理论学习的重要组织形式，是严肃党内政治生活、强化党性修养的重要内容，是加强局领导班子思想政治建设的重要制度，是建设学习型服务型创新型的马克思主义执政党、提高党的执政能力和领导水平的重要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局党组应当把理论学习中心组学习列入重要议事日程，纳入党建工作责任制，纳入意识形态工作责任制。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二）党组理论学习中心组学习以政治学习为根本，以深入学习中国特色社会主义理论体系为首要任务，以深入学习贯彻习近平新时代中国特色社会主义思想和党的十九大精神为重点，以掌握和运用马克思主义立场、观点、方法为目的，坚持围绕中心、服务大局，坚持知行合一、学以致用，坚持问题导向、注重实效，坚持依规管理，从严治学。自觉用习近平新时代中国特色社会主义思想武装头脑、指导实践、推动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（三）本制度适用于局领导班子理论学习中心组学习。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bdr w:val="none" w:color="auto" w:sz="0" w:space="0"/>
          <w:shd w:val="clear" w:fill="FFFFFF"/>
          <w:lang w:val="en-US" w:eastAsia="zh-CN" w:bidi="ar"/>
        </w:rPr>
        <w:t>二、组织与职责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（一）党组理论学习中心组主要由党组领导班子成员组成，可以根据学习需要适当吸收有关人员参加。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（二）每年年初要明确当年学习内容、学习重点、学习方向、组织方式等事项。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党组书记是理论学习中心组学习第一责任人，主要职责是审定学习计划、确定学习主题和研讨专题、提出学习要求、主持集体学习研讨、指导和检查中心组成员的学习情况。书记不能参加学习时，由主持党组日常工作的责任人代行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党组负责宣传思想工作的成员是理论学习中心组学习直接责任人，主要职责是配合党组书记做好学习的组织工作。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党组其他成员应当积极参加学习，自觉遵守理论学习中心组学习制度，按照学习安排或者受委派承担相应职责。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（三）党组理论学习中心组配备学习秘书，由人事科负责人担任。学习秘书主要职责是负责制定学习计划、加强联系沟通、做好学习宣传、收集整理编印或为中心组成员每月提供一份学习资料等工作。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bdr w:val="none" w:color="auto" w:sz="0" w:space="0"/>
          <w:shd w:val="clear" w:fill="FFFFFF"/>
          <w:lang w:val="en-US" w:eastAsia="zh-CN" w:bidi="ar"/>
        </w:rPr>
        <w:t>三、学习内容、形式与要求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（一）党组理论学习中心组学习内容包括：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1.马克思列宁主义、毛泽东思想、邓小平理论、“三个代表”重要思想、科学发展观、习近平新时代中国特色社会主义思想。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2.党章党规党纪和党的基本知识。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3.党的路线、方针、政策和决议。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4.国家法律法规。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5.社会主义核心价值观。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6.党的历史、中国历史、世界历史和科学社会主义发展史。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7.推进中国特色社会主义事业所需的经济、政治、文化、社会、生态、科技、军事、外交、民族、宗教等方面知识。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8.改革发展实践中的重点、难点问题。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9.市委、市政府重大决策部署以及重要会议精神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10.党中央和上级党组织要求学习的其他重要内容。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（二）党组理论学习中心组可以通过以下适当形式，开展切实有效的学习活动：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1.集体学习研讨。局党组理论学习中心组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2.个人自学。理论学习中心组成员应当根据形势任务的要求，结合工作需要和本人实际，明确学习重点，研读必要书目，下功夫刻苦学习，做到有计划、有步骤、有措施、有落实。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3.专题调研。理论学习中心组成员应当把理论学习与专题调研结合起来，围绕本单位改革发展面临的突出问题，深入基层、深入群众，扎实开展调查研究，深化理论学习。调研可以由党组统一组织，也可结合分管工作自行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理论学习中心组成员应当积极参加学习讲坛、读书会、报告会等学习活动，充分利用网络学习平台开展学习，拓宽学习渠道，提升学习效果。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党组理论学习中心组应当结合本单位实际，创新学习方式，改进学习方法，增强学习的吸引力、针对性和实效性。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（三）理论学习中心组应当坚持把学习马克思主义理论作为做好一切工作的看家本领，把学习党的基本理论与学习党的理论创新成果结合起来，把握精神实质，掌握精髓要义，做到真学真懂真信真用。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坚持学以立德、学以修身、学以益智、学以增才，把提高理论素质与增强党性修养、提升工作本领结合起来，坚定理想信念，加强党性锻炼，提高精神境界。大力弘扬理论联系实际的马克思主义学风，紧密结合改革开放和社会主义现代化建设的实际，紧密结合思想和工作实际，努力掌握马克思主义立场、观点、方法，学以致用、用以促学、学用相长，提倡理论学习中心组成员结合工作实际撰写学习心得、调研报告或者理论文章，把学习成果转化为有效的政策举措。坚持问题导向，提高运用党的基本理论解决实际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理论学习中心组成员应当发挥“关键少数”的示范和表率作用，自觉学习、带头学习，努力成为建设学习型党组织和学习型领导班子的精心组织者、积极促进者、自觉实践者，带动全局大兴学习之风。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加强对理论学习中心组学习主题、内容、授课人的审核把关和课堂现场管理。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集体学习研讨应当保证学习的时间和质量，每年应当集中一定时间学习，每季度不少于1次，每次集中学习时间为半天以上。不得以民主生活会、部署具体工作等形式代替党组理论学习中心组学习。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集体学习研讨应当保证参学率，每次集中学习研讨的参学率要达到2／3以上。因特殊情况不能参加集中学习研讨的，应事前向党组书记或主持党组日常工作的负责人请假，并以适当方式补学。理论学习中心组成员每年集中学习研讨的请假，原则上不得超过当年所学次数（场次）的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理论学习中心组应当做到有据可查，有计划、有通知有记录、有检查、有报告、有落实。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党组理论学习中心组学习专项经费应当列入本单位年度财政预算。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bdr w:val="none" w:color="auto" w:sz="0" w:space="0"/>
          <w:shd w:val="clear" w:fill="FFFFFF"/>
          <w:lang w:val="en-US" w:eastAsia="zh-CN" w:bidi="ar"/>
        </w:rPr>
        <w:t>四、学习管理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一）局党组理论学习中心组每年年初按照上级部署要求，结合工作实际，制定年度学习计划。根据党和国家新的重大部署，适时对学习计划进行补充和调整，作出阶段性学习安排和专题学习计划。年度学习计划由局党组审定后施行，并报送上级党委宣传部、组织部或者有关党的机关工作委员会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（二）党组理论学习中心组每年向有关党的机关工作委员会报送中心组学习情况。</w:t>
      </w:r>
    </w:p>
    <w:p>
      <w:pPr>
        <w:rPr>
          <w:rFonts w:hint="eastAsia" w:ascii="仿宋" w:hAnsi="仿宋" w:eastAsia="仿宋" w:cs="仿宋"/>
          <w:sz w:val="32"/>
          <w:szCs w:val="32"/>
        </w:rPr>
      </w:pPr>
    </w:p>
    <w:p>
      <w:pPr>
        <w:adjustRightInd/>
        <w:snapToGrid/>
        <w:spacing w:after="0" w:line="600" w:lineRule="exact"/>
        <w:jc w:val="center"/>
        <w:rPr>
          <w:rFonts w:hint="eastAsia" w:ascii="仿宋" w:hAnsi="仿宋" w:eastAsia="仿宋" w:cs="仿宋"/>
          <w:b/>
          <w:sz w:val="32"/>
          <w:szCs w:val="32"/>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bookmarkStart w:id="6" w:name="_GoBack"/>
      <w:bookmarkEnd w:id="6"/>
      <w:r>
        <w:rPr>
          <w:rFonts w:hint="eastAsia" w:asciiTheme="majorEastAsia" w:hAnsiTheme="majorEastAsia" w:eastAsiaTheme="majorEastAsia"/>
          <w:b/>
          <w:sz w:val="44"/>
          <w:szCs w:val="44"/>
        </w:rPr>
        <w:t>党支部三会一课制度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ascii="仿宋" w:hAnsi="仿宋" w:eastAsia="仿宋"/>
          <w:sz w:val="32"/>
          <w:szCs w:val="32"/>
        </w:rPr>
      </w:pPr>
      <w:r>
        <w:rPr>
          <w:rFonts w:hint="eastAsia" w:ascii="仿宋" w:hAnsi="仿宋" w:eastAsia="仿宋"/>
          <w:sz w:val="32"/>
          <w:szCs w:val="32"/>
        </w:rPr>
        <w:t>为了进一步加强基层党组织建设，充分发挥党组织的战斗堡垒作用和党员的先锋模范作用，根据《中国共产党党章》的有关规定，结合我局实际，制定本制度。</w:t>
      </w:r>
    </w:p>
    <w:p>
      <w:pPr>
        <w:adjustRightInd/>
        <w:snapToGrid/>
        <w:spacing w:after="0" w:line="600" w:lineRule="exact"/>
        <w:ind w:firstLine="643" w:firstLineChars="200"/>
        <w:rPr>
          <w:rFonts w:ascii="仿宋" w:hAnsi="仿宋" w:eastAsia="仿宋"/>
          <w:b/>
          <w:bCs/>
          <w:sz w:val="32"/>
          <w:szCs w:val="32"/>
        </w:rPr>
      </w:pPr>
      <w:r>
        <w:rPr>
          <w:rFonts w:hint="eastAsia" w:ascii="仿宋" w:hAnsi="仿宋" w:eastAsia="仿宋"/>
          <w:b/>
          <w:bCs/>
          <w:sz w:val="32"/>
          <w:szCs w:val="32"/>
        </w:rPr>
        <w:t>一、总体要求</w:t>
      </w:r>
    </w:p>
    <w:p>
      <w:pPr>
        <w:adjustRightInd/>
        <w:snapToGrid/>
        <w:spacing w:after="0" w:line="600" w:lineRule="exact"/>
        <w:ind w:firstLine="640" w:firstLineChars="200"/>
        <w:rPr>
          <w:rFonts w:ascii="仿宋" w:hAnsi="仿宋" w:eastAsia="仿宋"/>
          <w:sz w:val="32"/>
          <w:szCs w:val="32"/>
        </w:rPr>
      </w:pPr>
      <w:r>
        <w:rPr>
          <w:rFonts w:hint="eastAsia" w:ascii="仿宋" w:hAnsi="仿宋" w:eastAsia="仿宋"/>
          <w:sz w:val="32"/>
          <w:szCs w:val="32"/>
        </w:rPr>
        <w:t>“三会一课”制度是党支部工作的基本制度，各党小组应当把“三会一课”活动纳入工作计划，作为一项重要工作来抓。各党小组要结合实际，贴近中心工作，有针对、有重点的组织好“三会一课”活动。通过 “三会一课”教育，不断提高党员的思想政治素质，切实转变工作作风，提升工作水平，推动党员队伍和基层党组织建设。</w:t>
      </w:r>
    </w:p>
    <w:p>
      <w:pPr>
        <w:adjustRightInd/>
        <w:snapToGrid/>
        <w:spacing w:after="0" w:line="600" w:lineRule="exact"/>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二、主要内容</w:t>
      </w:r>
    </w:p>
    <w:p>
      <w:pPr>
        <w:adjustRightInd/>
        <w:snapToGrid/>
        <w:spacing w:after="0" w:line="600" w:lineRule="exact"/>
        <w:rPr>
          <w:rFonts w:ascii="仿宋" w:hAnsi="仿宋" w:eastAsia="仿宋"/>
          <w:sz w:val="32"/>
          <w:szCs w:val="32"/>
        </w:rPr>
      </w:pPr>
      <w:r>
        <w:rPr>
          <w:rFonts w:hint="eastAsia" w:ascii="仿宋" w:hAnsi="仿宋" w:eastAsia="仿宋"/>
          <w:sz w:val="32"/>
          <w:szCs w:val="32"/>
        </w:rPr>
        <w:t>　　“三会一课”，是指定期召开支部委员会、党小组会、支部党员大会，按时上好党课。</w:t>
      </w:r>
    </w:p>
    <w:p>
      <w:pPr>
        <w:adjustRightInd/>
        <w:snapToGrid/>
        <w:spacing w:after="0" w:line="600" w:lineRule="exact"/>
        <w:rPr>
          <w:rFonts w:ascii="仿宋" w:hAnsi="仿宋" w:eastAsia="仿宋"/>
          <w:sz w:val="32"/>
          <w:szCs w:val="32"/>
        </w:rPr>
      </w:pPr>
      <w:r>
        <w:rPr>
          <w:rFonts w:hint="eastAsia" w:ascii="仿宋" w:hAnsi="仿宋" w:eastAsia="仿宋"/>
          <w:sz w:val="32"/>
          <w:szCs w:val="32"/>
        </w:rPr>
        <w:t>　　(一)支部委员会。</w:t>
      </w:r>
    </w:p>
    <w:p>
      <w:pPr>
        <w:adjustRightInd/>
        <w:snapToGrid/>
        <w:spacing w:after="0" w:line="600" w:lineRule="exact"/>
        <w:rPr>
          <w:rFonts w:ascii="仿宋" w:hAnsi="仿宋" w:eastAsia="仿宋"/>
          <w:sz w:val="32"/>
          <w:szCs w:val="32"/>
        </w:rPr>
      </w:pPr>
      <w:r>
        <w:rPr>
          <w:rFonts w:hint="eastAsia" w:ascii="仿宋" w:hAnsi="仿宋" w:eastAsia="仿宋"/>
          <w:sz w:val="32"/>
          <w:szCs w:val="32"/>
        </w:rPr>
        <w:t>　　支部委员会由支部书记主持，支部委员参加。其主要内容是：研究、贯彻落实上级党组织的指示精神和决定;结合本支部实际研究本支部党建工作，制定工作计划，检查和总结工作情况;分析本支部党员状况，制定党员教育管理措施;讨论入党积极分子和党员发展对象的培养和考察问题，讨论预备党员转正问题;其他需要支部讨论的重要问题。</w:t>
      </w:r>
    </w:p>
    <w:p>
      <w:pPr>
        <w:adjustRightInd/>
        <w:snapToGrid/>
        <w:spacing w:after="0" w:line="600" w:lineRule="exact"/>
        <w:rPr>
          <w:rFonts w:ascii="仿宋" w:hAnsi="仿宋" w:eastAsia="仿宋"/>
          <w:sz w:val="32"/>
          <w:szCs w:val="32"/>
        </w:rPr>
      </w:pPr>
      <w:r>
        <w:rPr>
          <w:rFonts w:hint="eastAsia" w:ascii="仿宋" w:hAnsi="仿宋" w:eastAsia="仿宋"/>
          <w:sz w:val="32"/>
          <w:szCs w:val="32"/>
        </w:rPr>
        <w:t>　　(二)党小组会。</w:t>
      </w:r>
    </w:p>
    <w:p>
      <w:pPr>
        <w:adjustRightInd/>
        <w:snapToGrid/>
        <w:spacing w:after="0" w:line="600" w:lineRule="exact"/>
        <w:rPr>
          <w:rFonts w:ascii="仿宋" w:hAnsi="仿宋" w:eastAsia="仿宋"/>
          <w:sz w:val="32"/>
          <w:szCs w:val="32"/>
        </w:rPr>
      </w:pPr>
      <w:r>
        <w:rPr>
          <w:rFonts w:hint="eastAsia" w:ascii="仿宋" w:hAnsi="仿宋" w:eastAsia="仿宋"/>
          <w:sz w:val="32"/>
          <w:szCs w:val="32"/>
        </w:rPr>
        <w:t>　　党小组会是党小组活动的主要形式之一，是党员组织生活的重要组成部分。党小组会由党小组长主持，其主要内容是：组织党员学习党的路线、方针、政策;学习党的基本知识和基本理论;学习国家的法律、法规和政策;学习上级党组织的决议;汇报交流党员的思想、工作、学习情况;反映党员群众的意见和建议;围绕党支部的工作，结合实际提出贯彻措施，并检查落实情况等。</w:t>
      </w:r>
    </w:p>
    <w:p>
      <w:pPr>
        <w:adjustRightInd/>
        <w:snapToGrid/>
        <w:spacing w:after="0" w:line="600" w:lineRule="exact"/>
        <w:rPr>
          <w:rFonts w:ascii="仿宋" w:hAnsi="仿宋" w:eastAsia="仿宋"/>
          <w:sz w:val="32"/>
          <w:szCs w:val="32"/>
        </w:rPr>
      </w:pPr>
      <w:r>
        <w:rPr>
          <w:rFonts w:hint="eastAsia" w:ascii="仿宋" w:hAnsi="仿宋" w:eastAsia="仿宋"/>
          <w:sz w:val="32"/>
          <w:szCs w:val="32"/>
        </w:rPr>
        <w:t>　　(三)支部党员大会。</w:t>
      </w:r>
    </w:p>
    <w:p>
      <w:pPr>
        <w:adjustRightInd/>
        <w:snapToGrid/>
        <w:spacing w:after="0" w:line="600" w:lineRule="exact"/>
        <w:rPr>
          <w:rFonts w:ascii="仿宋" w:hAnsi="仿宋" w:eastAsia="仿宋"/>
          <w:sz w:val="32"/>
          <w:szCs w:val="32"/>
        </w:rPr>
      </w:pPr>
      <w:r>
        <w:rPr>
          <w:rFonts w:hint="eastAsia" w:ascii="仿宋" w:hAnsi="仿宋" w:eastAsia="仿宋"/>
          <w:sz w:val="32"/>
          <w:szCs w:val="32"/>
        </w:rPr>
        <w:t>　　支部党员大会由支部委员会召集、支部书记或者副书记主持，全体党员参加。其主要内容是：传达学习党的路线、方针、政策和党的有关文件;贯彻落实上级党组织的决议、决定、指示;听取、讨论和通过支部委员会的工作报告和工作计划;对支部委员会的工作进行审查和监督;讨论党员的表彰或者处分等问题;讨论发展新党员及预备党员转正问题;选举新一届支部委员会;讨论支部委员会提交的其他重要问题。</w:t>
      </w:r>
    </w:p>
    <w:p>
      <w:pPr>
        <w:adjustRightInd/>
        <w:snapToGrid/>
        <w:spacing w:after="0" w:line="600" w:lineRule="exact"/>
        <w:rPr>
          <w:rFonts w:ascii="仿宋" w:hAnsi="仿宋" w:eastAsia="仿宋"/>
          <w:sz w:val="32"/>
          <w:szCs w:val="32"/>
        </w:rPr>
      </w:pPr>
      <w:r>
        <w:rPr>
          <w:rFonts w:hint="eastAsia" w:ascii="仿宋" w:hAnsi="仿宋" w:eastAsia="仿宋"/>
          <w:sz w:val="32"/>
          <w:szCs w:val="32"/>
        </w:rPr>
        <w:t>　　(四)党课。</w:t>
      </w:r>
    </w:p>
    <w:p>
      <w:pPr>
        <w:adjustRightInd/>
        <w:snapToGrid/>
        <w:spacing w:after="0" w:line="600" w:lineRule="exact"/>
        <w:rPr>
          <w:rFonts w:ascii="仿宋" w:hAnsi="仿宋" w:eastAsia="仿宋"/>
          <w:sz w:val="32"/>
          <w:szCs w:val="32"/>
        </w:rPr>
      </w:pPr>
      <w:r>
        <w:rPr>
          <w:rFonts w:hint="eastAsia" w:ascii="仿宋" w:hAnsi="仿宋" w:eastAsia="仿宋"/>
          <w:sz w:val="32"/>
          <w:szCs w:val="32"/>
        </w:rPr>
        <w:t>　　党课由党员和入党积极分子参加。党课是对党员进行教育的最经常、最基本的一种形式。组织好党课教育，是党支部的一项重要工作。支部党课教育内容根据每一时期党的中心工作要求和党员的思想教育实际确定。其主要内容是：党的路线、方针、政策和党的基本知识、基本理论教育;</w:t>
      </w:r>
      <w:r>
        <w:rPr>
          <w:rFonts w:hint="eastAsia" w:ascii="仿宋" w:hAnsi="仿宋" w:eastAsia="仿宋"/>
          <w:color w:val="auto"/>
          <w:sz w:val="32"/>
          <w:szCs w:val="32"/>
        </w:rPr>
        <w:t>习近平新时代中国特色社会主义思想</w:t>
      </w:r>
      <w:r>
        <w:rPr>
          <w:rFonts w:hint="eastAsia" w:ascii="仿宋" w:hAnsi="仿宋" w:eastAsia="仿宋"/>
          <w:sz w:val="32"/>
          <w:szCs w:val="32"/>
        </w:rPr>
        <w:t>；国内外政治经济形势教育;党规党纪与党风廉政教育;党员先进性教育;法律法规和政策知识教育;科学文化历史知识教育等。</w:t>
      </w:r>
    </w:p>
    <w:p>
      <w:pPr>
        <w:adjustRightInd/>
        <w:snapToGrid/>
        <w:spacing w:after="0" w:line="600" w:lineRule="exact"/>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　三、时间安排</w:t>
      </w:r>
    </w:p>
    <w:p>
      <w:pPr>
        <w:adjustRightInd/>
        <w:snapToGrid/>
        <w:spacing w:after="0" w:line="600" w:lineRule="exact"/>
        <w:rPr>
          <w:rFonts w:ascii="仿宋" w:hAnsi="仿宋" w:eastAsia="仿宋"/>
          <w:sz w:val="32"/>
          <w:szCs w:val="32"/>
        </w:rPr>
      </w:pPr>
      <w:r>
        <w:rPr>
          <w:rFonts w:hint="eastAsia" w:ascii="仿宋" w:hAnsi="仿宋" w:eastAsia="仿宋"/>
          <w:sz w:val="32"/>
          <w:szCs w:val="32"/>
        </w:rPr>
        <w:t>　　“三会一课”活动应当定期进行。每月召开一次支委会或者支委扩大会议;每月至少召开一次党小组会议，每个季度召开一次支部党员大会，每季度上一次党课。根据工作需要，“三会一课”活动也可随时进行。若无特殊情况，一般不宜推迟进行。</w:t>
      </w:r>
    </w:p>
    <w:p>
      <w:pPr>
        <w:adjustRightInd/>
        <w:snapToGrid/>
        <w:spacing w:after="0" w:line="600" w:lineRule="exact"/>
        <w:rPr>
          <w:rFonts w:ascii="仿宋" w:hAnsi="仿宋" w:eastAsia="仿宋"/>
          <w:sz w:val="32"/>
          <w:szCs w:val="32"/>
        </w:rPr>
      </w:pPr>
      <w:r>
        <w:rPr>
          <w:rFonts w:hint="eastAsia" w:ascii="仿宋" w:hAnsi="仿宋" w:eastAsia="仿宋"/>
          <w:sz w:val="32"/>
          <w:szCs w:val="32"/>
        </w:rPr>
        <w:t>　　</w:t>
      </w:r>
      <w:r>
        <w:rPr>
          <w:rFonts w:hint="eastAsia" w:ascii="仿宋" w:hAnsi="仿宋" w:eastAsia="仿宋"/>
          <w:b/>
          <w:bCs/>
          <w:sz w:val="32"/>
          <w:szCs w:val="32"/>
        </w:rPr>
        <w:t>四、具体要求</w:t>
      </w:r>
    </w:p>
    <w:p>
      <w:pPr>
        <w:adjustRightInd/>
        <w:snapToGrid/>
        <w:spacing w:after="0" w:line="600" w:lineRule="exact"/>
        <w:rPr>
          <w:rFonts w:ascii="仿宋" w:hAnsi="仿宋" w:eastAsia="仿宋"/>
          <w:sz w:val="32"/>
          <w:szCs w:val="32"/>
        </w:rPr>
      </w:pPr>
      <w:r>
        <w:rPr>
          <w:rFonts w:hint="eastAsia" w:ascii="仿宋" w:hAnsi="仿宋" w:eastAsia="仿宋"/>
          <w:sz w:val="32"/>
          <w:szCs w:val="32"/>
        </w:rPr>
        <w:t>　　(一)服务中心工作。“三会一课”要结合党和国家的形势，围绕局中心工作进行，要有鲜明的现实性、针对性和实践性。</w:t>
      </w:r>
    </w:p>
    <w:p>
      <w:pPr>
        <w:adjustRightInd/>
        <w:snapToGrid/>
        <w:spacing w:after="0" w:line="600" w:lineRule="exact"/>
        <w:rPr>
          <w:rFonts w:ascii="仿宋" w:hAnsi="仿宋" w:eastAsia="仿宋"/>
          <w:sz w:val="32"/>
          <w:szCs w:val="32"/>
        </w:rPr>
      </w:pPr>
      <w:r>
        <w:rPr>
          <w:rFonts w:hint="eastAsia" w:ascii="仿宋" w:hAnsi="仿宋" w:eastAsia="仿宋"/>
          <w:sz w:val="32"/>
          <w:szCs w:val="32"/>
        </w:rPr>
        <w:t>　　(二)精心组织安排。“三会一课”必须精心组织，精心安排，注重实效，采取灵活多样的形式和积极有效的方法，不断提高“三会一课”的质量。要克服和防止走形式、走过场。</w:t>
      </w:r>
    </w:p>
    <w:p>
      <w:pPr>
        <w:adjustRightInd/>
        <w:snapToGrid/>
        <w:spacing w:after="0" w:line="600" w:lineRule="exact"/>
        <w:rPr>
          <w:rFonts w:ascii="仿宋" w:hAnsi="仿宋" w:eastAsia="仿宋"/>
          <w:sz w:val="32"/>
          <w:szCs w:val="32"/>
        </w:rPr>
      </w:pPr>
      <w:r>
        <w:rPr>
          <w:rFonts w:hint="eastAsia" w:ascii="仿宋" w:hAnsi="仿宋" w:eastAsia="仿宋"/>
          <w:sz w:val="32"/>
          <w:szCs w:val="32"/>
        </w:rPr>
        <w:t>　　(三)完善有关制度。</w:t>
      </w:r>
    </w:p>
    <w:p>
      <w:pPr>
        <w:adjustRightInd/>
        <w:snapToGrid/>
        <w:spacing w:after="0" w:line="600" w:lineRule="exact"/>
        <w:rPr>
          <w:rFonts w:ascii="仿宋" w:hAnsi="仿宋" w:eastAsia="仿宋"/>
          <w:sz w:val="32"/>
          <w:szCs w:val="32"/>
        </w:rPr>
      </w:pPr>
      <w:r>
        <w:rPr>
          <w:rFonts w:hint="eastAsia" w:ascii="仿宋" w:hAnsi="仿宋" w:eastAsia="仿宋"/>
          <w:sz w:val="32"/>
          <w:szCs w:val="32"/>
        </w:rPr>
        <w:t>　　各党小组要严格“三会一课”考勤制度，健全“三会一课”记录簿，会后要及时小结，使“三会一课”活动规范化、制度化。</w:t>
      </w:r>
    </w:p>
    <w:p>
      <w:pPr>
        <w:adjustRightInd/>
        <w:snapToGrid/>
        <w:spacing w:after="0" w:line="600" w:lineRule="exact"/>
        <w:rPr>
          <w:rFonts w:ascii="仿宋" w:hAnsi="仿宋" w:eastAsia="仿宋"/>
          <w:sz w:val="32"/>
          <w:szCs w:val="32"/>
        </w:rPr>
      </w:pPr>
      <w:r>
        <w:rPr>
          <w:rFonts w:hint="eastAsia" w:ascii="仿宋" w:hAnsi="仿宋" w:eastAsia="仿宋"/>
          <w:sz w:val="32"/>
          <w:szCs w:val="32"/>
        </w:rPr>
        <w:t>　</w:t>
      </w:r>
    </w:p>
    <w:p>
      <w:pPr>
        <w:adjustRightInd/>
        <w:snapToGrid/>
        <w:spacing w:after="0" w:line="600" w:lineRule="exact"/>
        <w:rPr>
          <w:rFonts w:ascii="仿宋_GB2312" w:eastAsia="仿宋_GB2312"/>
          <w:sz w:val="32"/>
          <w:szCs w:val="32"/>
        </w:rPr>
      </w:pPr>
      <w:r>
        <w:rPr>
          <w:rFonts w:hint="eastAsia" w:ascii="仿宋_GB2312" w:eastAsia="仿宋_GB2312"/>
          <w:sz w:val="32"/>
          <w:szCs w:val="32"/>
        </w:rPr>
        <w:t>　</w:t>
      </w: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both"/>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会议制度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为进一步规范各类会议，推进科学民主决策,提高议事质量,结合我局实际,制定本制度。</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一、会议的形式</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1、局党组会议。由局党组书记或其委托党组成员主持召开，局党组班子成员参加，办公室主任列席，必要时请有关</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室人员列席。如遇特殊紧急情况来不及召开局党组会议时，可根据实际情况向局党组书记请示并经同意后采取圈阅签批的方式进行，并报办公室备案。</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主要内容：学习、宣传、贯彻党的路线、方针、政策，贯彻落实市委决策、部署、指示、决定等事项； 需要向县委请示报告的重要事项； 局机关党组织请示报告的重要事项；局领导班子成员分工以及局机关机构设置、职责、人员编制等事项；重大决策、重要人事任免、重大项目安排、大额资金使用等事项；局机关干部队伍建设和人才队伍建设； 加强局机关党的建设重要事项；意识形态工作、思想政治工作、精神文明建设方面的重要事项；党风廉政建设和反腐败工作方面的重要事项；统战工作、群团工作等方面需经局党组讨论决定的重要事项；其它需要局党组会议讨论事项。</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局党组会议每月召开一次，必要时临时决定召开。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2、局长办公会议。由局长或其委托其他局领导主持召开，局领导班子参加，办公室主任列席，必要时请有关</w:t>
      </w:r>
      <w:r>
        <w:rPr>
          <w:rFonts w:hint="eastAsia" w:ascii="仿宋" w:hAnsi="仿宋" w:eastAsia="仿宋" w:cs="仿宋"/>
          <w:sz w:val="32"/>
          <w:szCs w:val="32"/>
          <w:lang w:val="en-US" w:eastAsia="zh-CN"/>
        </w:rPr>
        <w:t>股</w:t>
      </w:r>
      <w:r>
        <w:rPr>
          <w:rFonts w:hint="eastAsia" w:ascii="仿宋" w:hAnsi="仿宋" w:eastAsia="仿宋" w:cs="仿宋"/>
          <w:sz w:val="32"/>
          <w:szCs w:val="32"/>
        </w:rPr>
        <w:t>室人员列席。如遇特殊紧急情况来不及召开局长办公会议时，可根据实际情况向局长请示并经同意后采取圈阅签批的方式进行，并报办公室备案。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主要内容：传达学习贯彻上级重要文件、会议精神，研究制定贯彻意见；讨论决定本局业务工作重大事项；审议各项规章制度；其它需要局长办公会议讨论事项。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局长办公会议每月召开一次，必要时临时决定召开。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3、局务会议。局长或其委托的其他局领导主持召开，局领导及各</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室负责人参加。</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主要内容：学习传达上级会议、文件精神及领导指示，讨论制定具体贯彻落实措施，听取各</w:t>
      </w:r>
      <w:r>
        <w:rPr>
          <w:rFonts w:hint="eastAsia" w:ascii="仿宋" w:hAnsi="仿宋" w:eastAsia="仿宋" w:cs="仿宋"/>
          <w:sz w:val="32"/>
          <w:szCs w:val="32"/>
          <w:lang w:val="en-US" w:eastAsia="zh-CN"/>
        </w:rPr>
        <w:t>股</w:t>
      </w:r>
      <w:r>
        <w:rPr>
          <w:rFonts w:hint="eastAsia" w:ascii="仿宋" w:hAnsi="仿宋" w:eastAsia="仿宋" w:cs="仿宋"/>
          <w:sz w:val="32"/>
          <w:szCs w:val="32"/>
        </w:rPr>
        <w:t>室的工作汇报，检查落实任务完成情况，安排部署工作，研究解决工作中的问题。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局务会议每季度召开一次，必要时临时决定召开。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color w:val="000000" w:themeColor="text1"/>
          <w:sz w:val="32"/>
          <w:szCs w:val="32"/>
        </w:rPr>
        <w:t>4</w:t>
      </w:r>
      <w:r>
        <w:rPr>
          <w:rFonts w:hint="eastAsia" w:ascii="仿宋" w:hAnsi="仿宋" w:eastAsia="仿宋" w:cs="仿宋"/>
          <w:sz w:val="32"/>
          <w:szCs w:val="32"/>
        </w:rPr>
        <w:t>、全体干部职工会议。 局长或其委托的其他局领导主持召开，局全体工作人员。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主要内容：学习传达上级会议、文件精神及领导指示，部署全局工作，通报年度、阶段性工作情况；民主推荐、人事任免、年度考核等事项；通报有关情况以及其它需要全体同志讨论知晓事项。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全体干部职工会议根据实际需要召开。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color w:val="000000" w:themeColor="text1"/>
          <w:sz w:val="32"/>
          <w:szCs w:val="32"/>
        </w:rPr>
        <w:t>5</w:t>
      </w:r>
      <w:r>
        <w:rPr>
          <w:rFonts w:hint="eastAsia" w:ascii="仿宋" w:hAnsi="仿宋" w:eastAsia="仿宋" w:cs="仿宋"/>
          <w:sz w:val="32"/>
          <w:szCs w:val="32"/>
        </w:rPr>
        <w:t>、业务分析会议。由局长或分管领导主持召开，相关业务</w:t>
      </w:r>
      <w:r>
        <w:rPr>
          <w:rFonts w:hint="eastAsia" w:ascii="仿宋" w:hAnsi="仿宋" w:eastAsia="仿宋" w:cs="仿宋"/>
          <w:sz w:val="32"/>
          <w:szCs w:val="32"/>
          <w:lang w:val="en-US" w:eastAsia="zh-CN"/>
        </w:rPr>
        <w:t>股</w:t>
      </w:r>
      <w:r>
        <w:rPr>
          <w:rFonts w:hint="eastAsia" w:ascii="仿宋" w:hAnsi="仿宋" w:eastAsia="仿宋" w:cs="仿宋"/>
          <w:sz w:val="32"/>
          <w:szCs w:val="32"/>
        </w:rPr>
        <w:t>室人员参加。</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主要内容：讨论业务工作中出现的问题，协调各项业务工作关系。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业务会议根据实际需要召开。</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二、会议注意事项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局党组会</w:t>
      </w:r>
      <w:r>
        <w:rPr>
          <w:rFonts w:hint="eastAsia" w:ascii="仿宋" w:hAnsi="仿宋" w:eastAsia="仿宋" w:cs="仿宋"/>
          <w:sz w:val="32"/>
          <w:szCs w:val="32"/>
        </w:rPr>
        <w:t>由办公室负责人担任记录，局长办公会、局务会、全体工作职工会议由办公室记录。业务分析会由所在</w:t>
      </w:r>
      <w:r>
        <w:rPr>
          <w:rFonts w:hint="eastAsia" w:ascii="仿宋" w:hAnsi="仿宋" w:eastAsia="仿宋" w:cs="仿宋"/>
          <w:sz w:val="32"/>
          <w:szCs w:val="32"/>
          <w:lang w:val="en-US" w:eastAsia="zh-CN"/>
        </w:rPr>
        <w:t>股</w:t>
      </w:r>
      <w:r>
        <w:rPr>
          <w:rFonts w:hint="eastAsia" w:ascii="仿宋" w:hAnsi="仿宋" w:eastAsia="仿宋" w:cs="仿宋"/>
          <w:sz w:val="32"/>
          <w:szCs w:val="32"/>
        </w:rPr>
        <w:t>室记录。会议记录（包括个人笔记）要妥为保管。</w:t>
      </w:r>
    </w:p>
    <w:p>
      <w:pPr>
        <w:adjustRightInd/>
        <w:snapToGrid/>
        <w:spacing w:after="0" w:line="600" w:lineRule="exact"/>
        <w:ind w:firstLine="640" w:firstLineChars="200"/>
        <w:rPr>
          <w:rFonts w:hint="eastAsia" w:ascii="仿宋" w:hAnsi="仿宋" w:eastAsia="仿宋" w:cs="仿宋"/>
          <w:sz w:val="32"/>
          <w:szCs w:val="32"/>
        </w:rPr>
      </w:pPr>
    </w:p>
    <w:p>
      <w:pPr>
        <w:pStyle w:val="3"/>
        <w:jc w:val="center"/>
        <w:rPr>
          <w:color w:val="FF0000"/>
          <w:sz w:val="44"/>
          <w:szCs w:val="44"/>
        </w:rPr>
      </w:pPr>
      <w:bookmarkStart w:id="1" w:name="_Toc486522638"/>
    </w:p>
    <w:p/>
    <w:p/>
    <w:p/>
    <w:p/>
    <w:p/>
    <w:p>
      <w:pPr>
        <w:pStyle w:val="3"/>
        <w:jc w:val="center"/>
        <w:rPr>
          <w:color w:val="FF0000"/>
          <w:sz w:val="44"/>
          <w:szCs w:val="44"/>
        </w:rPr>
      </w:pPr>
    </w:p>
    <w:p/>
    <w:p/>
    <w:p>
      <w:pPr>
        <w:pStyle w:val="3"/>
        <w:jc w:val="center"/>
        <w:rPr>
          <w:color w:val="auto"/>
          <w:sz w:val="44"/>
          <w:szCs w:val="44"/>
        </w:rPr>
      </w:pPr>
      <w:r>
        <w:rPr>
          <w:rFonts w:hint="eastAsia"/>
          <w:color w:val="auto"/>
          <w:sz w:val="44"/>
          <w:szCs w:val="44"/>
        </w:rPr>
        <w:t>局党组会议议事规则</w:t>
      </w:r>
    </w:p>
    <w:p>
      <w:pPr>
        <w:spacing w:after="0" w:line="600" w:lineRule="exact"/>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第一章  总 则</w:t>
      </w:r>
    </w:p>
    <w:p>
      <w:pPr>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第一条  为落实民主集中制原则，认真执行“集体领导、民主集中、个别酝酿、会议决定”的工作原则，规范我局党组会议议事决策程序和机制，根据《中国共产党党章》和《中国共产党党组工作条例（试行）》等党内有关规定，制定本规则。</w:t>
      </w:r>
    </w:p>
    <w:p>
      <w:pPr>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第二条  局党组会议是局党组对“三重一大”事项的议事决策性会议，实行党组书记负责制。</w:t>
      </w:r>
    </w:p>
    <w:p>
      <w:pPr>
        <w:spacing w:after="0" w:line="600" w:lineRule="exact"/>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第二章  议事规则</w:t>
      </w:r>
    </w:p>
    <w:p>
      <w:pPr>
        <w:spacing w:after="0" w:line="600" w:lineRule="exact"/>
        <w:ind w:firstLine="800" w:firstLineChars="250"/>
        <w:rPr>
          <w:rFonts w:hint="eastAsia" w:ascii="仿宋" w:hAnsi="仿宋" w:eastAsia="仿宋" w:cs="仿宋"/>
          <w:color w:val="auto"/>
          <w:sz w:val="32"/>
          <w:szCs w:val="32"/>
        </w:rPr>
      </w:pPr>
      <w:r>
        <w:rPr>
          <w:rFonts w:hint="eastAsia" w:ascii="仿宋" w:hAnsi="仿宋" w:eastAsia="仿宋" w:cs="仿宋"/>
          <w:color w:val="auto"/>
          <w:sz w:val="32"/>
          <w:szCs w:val="32"/>
        </w:rPr>
        <w:t>第三条  议事范围。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局党组建立议事内容目录，实行清单管理。议事内容清单如下： </w:t>
      </w:r>
    </w:p>
    <w:p>
      <w:pPr>
        <w:rPr>
          <w:rFonts w:hint="eastAsia" w:ascii="仿宋" w:hAnsi="仿宋" w:eastAsia="仿宋" w:cs="仿宋"/>
          <w:sz w:val="32"/>
          <w:szCs w:val="32"/>
        </w:rPr>
      </w:pPr>
      <w:r>
        <w:rPr>
          <w:rFonts w:hint="eastAsia" w:ascii="仿宋" w:hAnsi="仿宋" w:eastAsia="仿宋" w:cs="仿宋"/>
          <w:sz w:val="32"/>
          <w:szCs w:val="32"/>
        </w:rPr>
        <w:t xml:space="preserve">　　（一）学习、宣传、贯彻党的路线、方针、政策，贯彻落实市委决策、部署、指示、决定等事项； </w:t>
      </w:r>
    </w:p>
    <w:p>
      <w:pPr>
        <w:rPr>
          <w:rFonts w:hint="eastAsia" w:ascii="仿宋" w:hAnsi="仿宋" w:eastAsia="仿宋" w:cs="仿宋"/>
          <w:sz w:val="32"/>
          <w:szCs w:val="32"/>
        </w:rPr>
      </w:pPr>
      <w:r>
        <w:rPr>
          <w:rFonts w:hint="eastAsia" w:ascii="仿宋" w:hAnsi="仿宋" w:eastAsia="仿宋" w:cs="仿宋"/>
          <w:sz w:val="32"/>
          <w:szCs w:val="32"/>
        </w:rPr>
        <w:t xml:space="preserve">　　（二）需要向县委请示报告的重要事项； </w:t>
      </w:r>
    </w:p>
    <w:p>
      <w:pPr>
        <w:rPr>
          <w:rFonts w:hint="eastAsia" w:ascii="仿宋" w:hAnsi="仿宋" w:eastAsia="仿宋" w:cs="仿宋"/>
          <w:sz w:val="32"/>
          <w:szCs w:val="32"/>
        </w:rPr>
      </w:pPr>
      <w:r>
        <w:rPr>
          <w:rFonts w:hint="eastAsia" w:ascii="仿宋" w:hAnsi="仿宋" w:eastAsia="仿宋" w:cs="仿宋"/>
          <w:sz w:val="32"/>
          <w:szCs w:val="32"/>
        </w:rPr>
        <w:t xml:space="preserve">　　（三）局机关党组织请示报告的重要事项； </w:t>
      </w:r>
    </w:p>
    <w:p>
      <w:pPr>
        <w:rPr>
          <w:rFonts w:hint="eastAsia" w:ascii="仿宋" w:hAnsi="仿宋" w:eastAsia="仿宋" w:cs="仿宋"/>
          <w:sz w:val="32"/>
          <w:szCs w:val="32"/>
        </w:rPr>
      </w:pPr>
      <w:r>
        <w:rPr>
          <w:rFonts w:hint="eastAsia" w:ascii="仿宋" w:hAnsi="仿宋" w:eastAsia="仿宋" w:cs="仿宋"/>
          <w:sz w:val="32"/>
          <w:szCs w:val="32"/>
        </w:rPr>
        <w:t xml:space="preserve">　　（四）局领导班子成员分工以及局机关机构设置、职责、人员编制等事项； </w:t>
      </w:r>
    </w:p>
    <w:p>
      <w:pPr>
        <w:rPr>
          <w:rFonts w:hint="eastAsia" w:ascii="仿宋" w:hAnsi="仿宋" w:eastAsia="仿宋" w:cs="仿宋"/>
          <w:sz w:val="32"/>
          <w:szCs w:val="32"/>
        </w:rPr>
      </w:pPr>
      <w:r>
        <w:rPr>
          <w:rFonts w:hint="eastAsia" w:ascii="仿宋" w:hAnsi="仿宋" w:eastAsia="仿宋" w:cs="仿宋"/>
          <w:sz w:val="32"/>
          <w:szCs w:val="32"/>
        </w:rPr>
        <w:t xml:space="preserve">　　（五）重大决策、重要人事任免、重大项目安排、大额资金使用等事项； </w:t>
      </w:r>
    </w:p>
    <w:p>
      <w:pPr>
        <w:rPr>
          <w:rFonts w:hint="eastAsia" w:ascii="仿宋" w:hAnsi="仿宋" w:eastAsia="仿宋" w:cs="仿宋"/>
          <w:sz w:val="32"/>
          <w:szCs w:val="32"/>
        </w:rPr>
      </w:pPr>
      <w:r>
        <w:rPr>
          <w:rFonts w:hint="eastAsia" w:ascii="仿宋" w:hAnsi="仿宋" w:eastAsia="仿宋" w:cs="仿宋"/>
          <w:sz w:val="32"/>
          <w:szCs w:val="32"/>
        </w:rPr>
        <w:t xml:space="preserve">　　（六）局机关干部队伍建设和人才队伍建设； </w:t>
      </w:r>
    </w:p>
    <w:p>
      <w:pPr>
        <w:rPr>
          <w:rFonts w:hint="eastAsia" w:ascii="仿宋" w:hAnsi="仿宋" w:eastAsia="仿宋" w:cs="仿宋"/>
          <w:sz w:val="32"/>
          <w:szCs w:val="32"/>
        </w:rPr>
      </w:pPr>
      <w:r>
        <w:rPr>
          <w:rFonts w:hint="eastAsia" w:ascii="仿宋" w:hAnsi="仿宋" w:eastAsia="仿宋" w:cs="仿宋"/>
          <w:sz w:val="32"/>
          <w:szCs w:val="32"/>
        </w:rPr>
        <w:t xml:space="preserve">　　（七）加强局机关党的建设重要事项； </w:t>
      </w:r>
    </w:p>
    <w:p>
      <w:pPr>
        <w:rPr>
          <w:rFonts w:hint="eastAsia" w:ascii="仿宋" w:hAnsi="仿宋" w:eastAsia="仿宋" w:cs="仿宋"/>
          <w:sz w:val="32"/>
          <w:szCs w:val="32"/>
        </w:rPr>
      </w:pPr>
      <w:r>
        <w:rPr>
          <w:rFonts w:hint="eastAsia" w:ascii="仿宋" w:hAnsi="仿宋" w:eastAsia="仿宋" w:cs="仿宋"/>
          <w:sz w:val="32"/>
          <w:szCs w:val="32"/>
        </w:rPr>
        <w:t xml:space="preserve">　　（八）意识形态工作、思想政治工作、精神文明建设方面的重要事项； </w:t>
      </w:r>
    </w:p>
    <w:p>
      <w:pPr>
        <w:rPr>
          <w:rFonts w:hint="eastAsia" w:ascii="仿宋" w:hAnsi="仿宋" w:eastAsia="仿宋" w:cs="仿宋"/>
          <w:sz w:val="32"/>
          <w:szCs w:val="32"/>
        </w:rPr>
      </w:pPr>
      <w:r>
        <w:rPr>
          <w:rFonts w:hint="eastAsia" w:ascii="仿宋" w:hAnsi="仿宋" w:eastAsia="仿宋" w:cs="仿宋"/>
          <w:sz w:val="32"/>
          <w:szCs w:val="32"/>
        </w:rPr>
        <w:t xml:space="preserve">　　（九）党风廉政建设和反腐败工作方面的重要事项； </w:t>
      </w:r>
    </w:p>
    <w:p>
      <w:pPr>
        <w:rPr>
          <w:rFonts w:hint="eastAsia" w:ascii="仿宋" w:hAnsi="仿宋" w:eastAsia="仿宋" w:cs="仿宋"/>
          <w:sz w:val="32"/>
          <w:szCs w:val="32"/>
        </w:rPr>
      </w:pPr>
      <w:r>
        <w:rPr>
          <w:rFonts w:hint="eastAsia" w:ascii="仿宋" w:hAnsi="仿宋" w:eastAsia="仿宋" w:cs="仿宋"/>
          <w:sz w:val="32"/>
          <w:szCs w:val="32"/>
        </w:rPr>
        <w:t xml:space="preserve">　　（十）统战工作、群团工作等方面需经局党组讨论决定的重要事项； </w:t>
      </w:r>
    </w:p>
    <w:p>
      <w:pPr>
        <w:rPr>
          <w:rFonts w:hint="eastAsia" w:ascii="仿宋" w:hAnsi="仿宋" w:eastAsia="仿宋" w:cs="仿宋"/>
          <w:sz w:val="32"/>
          <w:szCs w:val="32"/>
        </w:rPr>
      </w:pPr>
      <w:r>
        <w:rPr>
          <w:rFonts w:hint="eastAsia" w:ascii="仿宋" w:hAnsi="仿宋" w:eastAsia="仿宋" w:cs="仿宋"/>
          <w:sz w:val="32"/>
          <w:szCs w:val="32"/>
        </w:rPr>
        <w:t xml:space="preserve">　　（十一）加强局党组自身建设有关事项； </w:t>
      </w:r>
    </w:p>
    <w:p>
      <w:pPr>
        <w:rPr>
          <w:rFonts w:hint="eastAsia" w:ascii="仿宋" w:hAnsi="仿宋" w:eastAsia="仿宋" w:cs="仿宋"/>
          <w:sz w:val="32"/>
          <w:szCs w:val="32"/>
        </w:rPr>
      </w:pPr>
      <w:r>
        <w:rPr>
          <w:rFonts w:hint="eastAsia" w:ascii="仿宋" w:hAnsi="仿宋" w:eastAsia="仿宋" w:cs="仿宋"/>
          <w:sz w:val="32"/>
          <w:szCs w:val="32"/>
        </w:rPr>
        <w:t xml:space="preserve">　　（十二）其他应当由局党组讨论决定的重要事项。 </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本议事内容清单根据工作需要经局党组研究通过后适时进行调整。</w:t>
      </w:r>
    </w:p>
    <w:p>
      <w:pPr>
        <w:pStyle w:val="9"/>
        <w:spacing w:line="60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第三章  议事程序及要求</w:t>
      </w:r>
    </w:p>
    <w:p>
      <w:pPr>
        <w:pStyle w:val="9"/>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第四条  局党组会议坚持“会前充分准备，会中议题集中，会后检查落实”的程序，确保会议质量和议事效率。</w:t>
      </w:r>
    </w:p>
    <w:p>
      <w:pPr>
        <w:pStyle w:val="9"/>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第五条  议事程序。</w:t>
      </w:r>
    </w:p>
    <w:p>
      <w:pPr>
        <w:pStyle w:val="9"/>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（一）会前准备。</w:t>
      </w:r>
    </w:p>
    <w:p>
      <w:pPr>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局党组会议议题由局党组书记提出，或者由局党组成员提出建议、局党组书记综合考虑后确定。紧急情况下，来不及召开局党组会议，又必须尽快作出决定的，由局党组书记临机处置，事后及时向局党组通报。 </w:t>
      </w:r>
    </w:p>
    <w:p>
      <w:pPr>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（二）会中决定。</w:t>
      </w:r>
    </w:p>
    <w:p>
      <w:pPr>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局党组会议作出决定的过程，必须体现决策科学化、民主化、规范化的要求。议题由局分管领导或相关议题</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室负责人作汇报,汇报内容简明扼要，各出席人员要畅所欲言，充分发表意见。参会人员在充分听取、反复磋商、集思广益的基础上，作出明确表态。</w:t>
      </w:r>
    </w:p>
    <w:p>
      <w:pPr>
        <w:spacing w:after="0" w:line="600" w:lineRule="exact"/>
        <w:ind w:firstLine="800" w:firstLineChars="250"/>
        <w:rPr>
          <w:rFonts w:hint="eastAsia" w:ascii="仿宋" w:hAnsi="仿宋" w:eastAsia="仿宋" w:cs="仿宋"/>
          <w:color w:val="auto"/>
          <w:sz w:val="32"/>
          <w:szCs w:val="32"/>
        </w:rPr>
      </w:pPr>
      <w:r>
        <w:rPr>
          <w:rFonts w:hint="eastAsia" w:ascii="仿宋" w:hAnsi="仿宋" w:eastAsia="仿宋" w:cs="仿宋"/>
          <w:color w:val="auto"/>
          <w:sz w:val="32"/>
          <w:szCs w:val="32"/>
        </w:rPr>
        <w:t>（三）会后落实。</w:t>
      </w:r>
    </w:p>
    <w:p>
      <w:pPr>
        <w:spacing w:after="0" w:line="600" w:lineRule="exact"/>
        <w:ind w:firstLine="800" w:firstLineChars="250"/>
        <w:rPr>
          <w:rFonts w:hint="eastAsia" w:ascii="仿宋" w:hAnsi="仿宋" w:eastAsia="仿宋" w:cs="仿宋"/>
          <w:color w:val="auto"/>
          <w:sz w:val="32"/>
          <w:szCs w:val="32"/>
        </w:rPr>
      </w:pPr>
      <w:r>
        <w:rPr>
          <w:rFonts w:hint="eastAsia" w:ascii="仿宋" w:hAnsi="仿宋" w:eastAsia="仿宋" w:cs="仿宋"/>
          <w:color w:val="auto"/>
          <w:sz w:val="32"/>
          <w:szCs w:val="32"/>
        </w:rPr>
        <w:t>局党组会议作出的决定，由承办业务</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室在规定时限内贯彻落实。局办公室负责督办、检查，协调解决实施中的问题。</w:t>
      </w:r>
    </w:p>
    <w:p>
      <w:pPr>
        <w:pStyle w:val="9"/>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第六条  会议的召开。</w:t>
      </w:r>
    </w:p>
    <w:p>
      <w:pPr>
        <w:pStyle w:val="9"/>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（一）局党组会议一般在每月初召开，如遇重大或急办事项，局党组书记可临时决定召开会议。局办公室原则上提前2天将会议时间、地点以OA或短信等形式通知出席、列席会议的全体人员。</w:t>
      </w:r>
    </w:p>
    <w:p>
      <w:pPr>
        <w:pStyle w:val="9"/>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局党组会议应当有半数以上局党组成员到会方可召开。讨论决定干部任免事项，必须有三分之二以上局党组成员到会。局党组成员因故不能参加会议的应当在会前向局党组书记请假，对会议议题的重要意见可以用书面形式表达，会后由会议召集人指定专人及时向其通报会议情况。</w:t>
      </w:r>
    </w:p>
    <w:p>
      <w:pPr>
        <w:pStyle w:val="9"/>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（三）局党组会议由局党组书记主持，局党组书记因故不能到会，可由局党组书记委托一名党组成员主持。</w:t>
      </w:r>
    </w:p>
    <w:p>
      <w:pPr>
        <w:pStyle w:val="9"/>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（四）局党组会议参加成员为：党组班子成员、办公室负责人列席并负责会议内容的记录、整理、存档备查，必要时相关议题</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室负责人列席。根据工作需要，可召开局党组扩大会议。</w:t>
      </w:r>
    </w:p>
    <w:p>
      <w:pPr>
        <w:pStyle w:val="9"/>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（五）局党组会议议题涉及本人或者其亲属以及存在其他需要回避情形的，有关局党组成员应当回避。</w:t>
      </w:r>
    </w:p>
    <w:p>
      <w:pPr>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第七条  纪律要求。</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局党组会议作出的决议，由局党组成员按分工落实或组织有关部门实施。负责组织实施的局党组成员，应当及时向局党组报告决议实施情况。局党组决策一经作出，应当坚决执行。局党组成员对局党组决策有不同意见的，可以保留或者向上级党组织反映，但在局党组决策改变前应当坚决执行。</w:t>
      </w:r>
    </w:p>
    <w:p>
      <w:pPr>
        <w:keepNext w:val="0"/>
        <w:keepLines w:val="0"/>
        <w:pageBreakBefore w:val="0"/>
        <w:widowControl/>
        <w:kinsoku/>
        <w:wordWrap/>
        <w:overflowPunct/>
        <w:topLinePunct w:val="0"/>
        <w:autoSpaceDE/>
        <w:autoSpaceDN/>
        <w:bidi w:val="0"/>
        <w:adjustRightInd w:val="0"/>
        <w:snapToGrid w:val="0"/>
        <w:spacing w:after="0" w:line="600" w:lineRule="exact"/>
        <w:ind w:firstLine="480" w:firstLineChars="1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（二）局党组会议的内容，除应当公开的外，与会人员须保守秘密，不得泄露，违者将根据情节轻重和造成的后果，给予批评教育直至纪律处分。</w:t>
      </w:r>
    </w:p>
    <w:bookmarkEnd w:id="1"/>
    <w:p>
      <w:pPr>
        <w:spacing w:after="0" w:line="600" w:lineRule="exact"/>
        <w:jc w:val="center"/>
        <w:rPr>
          <w:rFonts w:ascii="黑体" w:hAnsi="仿宋" w:eastAsia="黑体"/>
          <w:sz w:val="32"/>
          <w:szCs w:val="32"/>
        </w:rPr>
      </w:pPr>
    </w:p>
    <w:p>
      <w:pPr>
        <w:spacing w:after="0" w:line="600" w:lineRule="exact"/>
        <w:jc w:val="center"/>
        <w:rPr>
          <w:rFonts w:asciiTheme="minorEastAsia" w:hAnsiTheme="minorEastAsia" w:eastAsiaTheme="minorEastAsia"/>
          <w:b/>
          <w:sz w:val="44"/>
          <w:szCs w:val="44"/>
        </w:rPr>
      </w:pPr>
    </w:p>
    <w:p>
      <w:pPr>
        <w:spacing w:after="0" w:line="600" w:lineRule="exact"/>
        <w:jc w:val="center"/>
        <w:rPr>
          <w:rFonts w:asciiTheme="minorEastAsia" w:hAnsiTheme="minorEastAsia" w:eastAsiaTheme="minorEastAsia"/>
          <w:b/>
          <w:sz w:val="44"/>
          <w:szCs w:val="44"/>
        </w:rPr>
      </w:pPr>
    </w:p>
    <w:p>
      <w:pPr>
        <w:spacing w:after="0" w:line="600" w:lineRule="exact"/>
        <w:jc w:val="center"/>
        <w:rPr>
          <w:rFonts w:asciiTheme="minorEastAsia" w:hAnsiTheme="minorEastAsia" w:eastAsiaTheme="minorEastAsia"/>
          <w:b/>
          <w:sz w:val="44"/>
          <w:szCs w:val="44"/>
        </w:rPr>
      </w:pPr>
    </w:p>
    <w:p>
      <w:pPr>
        <w:spacing w:after="0" w:line="600" w:lineRule="exact"/>
        <w:jc w:val="center"/>
        <w:rPr>
          <w:rFonts w:asciiTheme="minorEastAsia" w:hAnsiTheme="minorEastAsia" w:eastAsiaTheme="minorEastAsia"/>
          <w:b/>
          <w:sz w:val="44"/>
          <w:szCs w:val="44"/>
        </w:rPr>
      </w:pPr>
    </w:p>
    <w:p>
      <w:pPr>
        <w:spacing w:after="0" w:line="600" w:lineRule="exact"/>
        <w:jc w:val="center"/>
        <w:rPr>
          <w:rFonts w:asciiTheme="minorEastAsia" w:hAnsiTheme="minorEastAsia" w:eastAsiaTheme="minorEastAsia"/>
          <w:b/>
          <w:sz w:val="44"/>
          <w:szCs w:val="44"/>
        </w:rPr>
      </w:pPr>
    </w:p>
    <w:p>
      <w:pPr>
        <w:spacing w:after="0" w:line="600" w:lineRule="exact"/>
        <w:jc w:val="center"/>
        <w:rPr>
          <w:rFonts w:asciiTheme="minorEastAsia" w:hAnsiTheme="minorEastAsia" w:eastAsiaTheme="minorEastAsia"/>
          <w:b/>
          <w:sz w:val="44"/>
          <w:szCs w:val="44"/>
        </w:rPr>
      </w:pPr>
    </w:p>
    <w:p>
      <w:pPr>
        <w:spacing w:after="0" w:line="600" w:lineRule="exact"/>
        <w:jc w:val="center"/>
        <w:rPr>
          <w:rFonts w:asciiTheme="minorEastAsia" w:hAnsiTheme="minorEastAsia" w:eastAsiaTheme="minorEastAsia"/>
          <w:b/>
          <w:sz w:val="44"/>
          <w:szCs w:val="44"/>
        </w:rPr>
      </w:pPr>
    </w:p>
    <w:p>
      <w:pPr>
        <w:spacing w:after="0" w:line="600" w:lineRule="exact"/>
        <w:jc w:val="center"/>
        <w:rPr>
          <w:rFonts w:asciiTheme="minorEastAsia" w:hAnsiTheme="minorEastAsia" w:eastAsiaTheme="minorEastAsia"/>
          <w:b/>
          <w:sz w:val="44"/>
          <w:szCs w:val="44"/>
        </w:rPr>
      </w:pPr>
    </w:p>
    <w:p>
      <w:pPr>
        <w:spacing w:after="0" w:line="600" w:lineRule="exact"/>
        <w:rPr>
          <w:rFonts w:asciiTheme="minorEastAsia" w:hAnsiTheme="minorEastAsia" w:eastAsiaTheme="minorEastAsia"/>
          <w:b/>
          <w:sz w:val="44"/>
          <w:szCs w:val="44"/>
        </w:rPr>
      </w:pPr>
    </w:p>
    <w:p>
      <w:pPr>
        <w:spacing w:after="0" w:line="600" w:lineRule="exact"/>
        <w:jc w:val="center"/>
        <w:rPr>
          <w:rFonts w:hint="eastAsia" w:asciiTheme="minorEastAsia" w:hAnsiTheme="minorEastAsia" w:eastAsiaTheme="minorEastAsia"/>
          <w:b/>
          <w:sz w:val="44"/>
          <w:szCs w:val="44"/>
        </w:rPr>
      </w:pPr>
    </w:p>
    <w:p>
      <w:pPr>
        <w:spacing w:after="0" w:line="600" w:lineRule="exact"/>
        <w:jc w:val="center"/>
        <w:rPr>
          <w:rFonts w:hint="eastAsia" w:asciiTheme="minorEastAsia" w:hAnsiTheme="minorEastAsia" w:eastAsiaTheme="minorEastAsia"/>
          <w:b/>
          <w:sz w:val="44"/>
          <w:szCs w:val="44"/>
        </w:rPr>
      </w:pPr>
    </w:p>
    <w:p>
      <w:pPr>
        <w:spacing w:after="0" w:line="600" w:lineRule="exact"/>
        <w:jc w:val="center"/>
        <w:rPr>
          <w:rFonts w:hint="eastAsia" w:asciiTheme="minorEastAsia" w:hAnsiTheme="minorEastAsia" w:eastAsiaTheme="minorEastAsia"/>
          <w:b/>
          <w:sz w:val="44"/>
          <w:szCs w:val="44"/>
        </w:rPr>
      </w:pPr>
    </w:p>
    <w:p>
      <w:pPr>
        <w:spacing w:after="0" w:line="600" w:lineRule="exact"/>
        <w:jc w:val="center"/>
        <w:rPr>
          <w:rFonts w:hint="eastAsia" w:asciiTheme="minorEastAsia" w:hAnsiTheme="minorEastAsia" w:eastAsiaTheme="minorEastAsia"/>
          <w:b/>
          <w:sz w:val="44"/>
          <w:szCs w:val="44"/>
        </w:rPr>
      </w:pPr>
    </w:p>
    <w:p>
      <w:pPr>
        <w:spacing w:after="0" w:line="600" w:lineRule="exact"/>
        <w:jc w:val="center"/>
        <w:rPr>
          <w:rFonts w:hint="eastAsia" w:asciiTheme="minorEastAsia" w:hAnsiTheme="minorEastAsia" w:eastAsiaTheme="minorEastAsia"/>
          <w:b/>
          <w:sz w:val="44"/>
          <w:szCs w:val="44"/>
        </w:rPr>
      </w:pPr>
    </w:p>
    <w:p>
      <w:pPr>
        <w:spacing w:after="0" w:line="6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局长办公会议事规则</w:t>
      </w:r>
    </w:p>
    <w:p>
      <w:pPr>
        <w:spacing w:after="0" w:line="600" w:lineRule="exact"/>
        <w:jc w:val="center"/>
        <w:rPr>
          <w:rFonts w:ascii="黑体" w:hAnsi="仿宋" w:eastAsia="黑体"/>
          <w:sz w:val="32"/>
          <w:szCs w:val="32"/>
        </w:rPr>
      </w:pPr>
    </w:p>
    <w:p>
      <w:pPr>
        <w:spacing w:after="0" w:line="600" w:lineRule="exact"/>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第一章  总 则</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为落实民主集中制原则，规范和健全我局局长办公会议议事决策程序和机制，保证行政决策的科学化、民主化、规范化，提高会议质量和议事效率，制定本规则。</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局长办公会议是局班子对重大事项行政议事的决策性会议，实行行政首长负责制。主要任务是贯彻执行市委市政府和省医疗保障局的决策部署，讨论决定重要事项，研究部署重要工作任务，处理重要行政事务。</w:t>
      </w:r>
    </w:p>
    <w:p>
      <w:pPr>
        <w:spacing w:after="0" w:line="600" w:lineRule="exact"/>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第二章  议事规则</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议事范围。</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传达学习贯彻上级重要文件、会议精神，研究制定贯彻意见；讨论决定业务工作重大事项；审议各项规章制度；其它需要局长办公会议讨论事项。</w:t>
      </w:r>
    </w:p>
    <w:p>
      <w:pPr>
        <w:pStyle w:val="9"/>
        <w:spacing w:line="600" w:lineRule="exact"/>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第三章  议事程序及要求</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局长办公会议坚持“会前充分准备，会中议题集中，会后检查落实”的程序，确保会议质量和议事效率。</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议事程序。</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（一）会前准备。</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提请局长办公会议研究讨论的内容，各</w:t>
      </w:r>
      <w:r>
        <w:rPr>
          <w:rFonts w:hint="eastAsia" w:ascii="仿宋" w:hAnsi="仿宋" w:eastAsia="仿宋" w:cs="仿宋"/>
          <w:sz w:val="32"/>
          <w:szCs w:val="32"/>
          <w:lang w:val="en-US" w:eastAsia="zh-CN"/>
        </w:rPr>
        <w:t>股</w:t>
      </w:r>
      <w:r>
        <w:rPr>
          <w:rFonts w:hint="eastAsia" w:ascii="仿宋" w:hAnsi="仿宋" w:eastAsia="仿宋" w:cs="仿宋"/>
          <w:sz w:val="32"/>
          <w:szCs w:val="32"/>
        </w:rPr>
        <w:t>室应先调查研究、充分酝酿，准备充分后由</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室负责人向分管领导汇报并经主要领导审定后，再提请局长办公会议讨论决定。如遇特殊紧急情况来不及召开局长办公会议时，可根据实际情况向局长请示并经同意后采取圈阅签批的方式进行。</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（二）会中决定。</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局长办公会议作出决定的过程，必须体现决策科学化、民主化、规范化的要求。议题由局分管领导或相关议题</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室负责人作汇报,汇报内容简明扼要，各出席人员要畅所欲言，充分发表意见。参会人员在充分听取、反复磋商、集思广益的基础上，作出明确表态。</w:t>
      </w:r>
    </w:p>
    <w:p>
      <w:pPr>
        <w:spacing w:after="0" w:line="60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（三）会后落实。</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局长办公会议作出的决定，由承办业务</w:t>
      </w:r>
      <w:r>
        <w:rPr>
          <w:rFonts w:hint="eastAsia" w:ascii="仿宋" w:hAnsi="仿宋" w:eastAsia="仿宋" w:cs="仿宋"/>
          <w:sz w:val="32"/>
          <w:szCs w:val="32"/>
          <w:lang w:val="en-US" w:eastAsia="zh-CN"/>
        </w:rPr>
        <w:t>股</w:t>
      </w:r>
      <w:r>
        <w:rPr>
          <w:rFonts w:hint="eastAsia" w:ascii="仿宋" w:hAnsi="仿宋" w:eastAsia="仿宋" w:cs="仿宋"/>
          <w:sz w:val="32"/>
          <w:szCs w:val="32"/>
        </w:rPr>
        <w:t>室在规定时限内贯彻落实。局办公室负责督办、检查，协调解决实施中的问题。</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会议的召开。</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（一）局长办公会议一般在每月初召开，如遇重大或急办事项，局长可临时决定召开会议。局办公室原则上提前2天将会议时间、地点以OA或短信等形式通知出席、列席会议的全体人员。</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局长办公会议必须有半数以上成员到会方能举行，讨论重要问题，作出重大决策时，应有三分之二以上成员参加。班子成员因故不能出席会议的，需提前向局长请假，在可能的情况下，可以事先对议题留下意见和建议。</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（三）局长办公会议由局长主持，局长因故不能到会，可由局长委托一名副局长主持。</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（四）局长办公会议参加成员为：正副局长、相关议题</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室负责人参加。办公室派员负责会议内容的记录、整理、存档备查。</w:t>
      </w:r>
    </w:p>
    <w:p>
      <w:pPr>
        <w:pStyle w:val="9"/>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（五）局长办公会议议事时，凡涉及与会者自身或夫妻关系、直系血亲关系、近姻近亲关系等人员利益时，有关成员应予回避。</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纪律要求。</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（一）经局长办公会议集体研究作出的决定，各成员必须坚决执行，因特殊情况需改变的，允许保留个人意见，但在没有作出新的决定前，必须坚决执行局长办公会议的决定。</w:t>
      </w:r>
    </w:p>
    <w:p>
      <w:pPr>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（二）局长办公会议的内容，除应当公开的外，与会人员须保守秘密，不得泄露，违者将根据情节轻重和造成的后果，给予批评教育直至纪律处分。</w:t>
      </w: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rPr>
          <w:rFonts w:asciiTheme="minorEastAsia" w:hAnsiTheme="minorEastAsia" w:eastAsiaTheme="minorEastAsia"/>
          <w:sz w:val="44"/>
          <w:szCs w:val="44"/>
        </w:rPr>
      </w:pPr>
    </w:p>
    <w:p>
      <w:pPr>
        <w:adjustRightInd/>
        <w:snapToGrid/>
        <w:spacing w:after="0" w:line="600" w:lineRule="exact"/>
        <w:jc w:val="center"/>
        <w:rPr>
          <w:rFonts w:hint="eastAsia" w:asciiTheme="minorEastAsia" w:hAnsiTheme="minorEastAsia" w:eastAsiaTheme="minorEastAsia"/>
          <w:sz w:val="44"/>
          <w:szCs w:val="44"/>
        </w:rPr>
      </w:pPr>
    </w:p>
    <w:p>
      <w:pPr>
        <w:adjustRightInd/>
        <w:snapToGrid/>
        <w:spacing w:after="0" w:line="600" w:lineRule="exact"/>
        <w:jc w:val="center"/>
        <w:rPr>
          <w:rFonts w:hint="eastAsia" w:asciiTheme="minorEastAsia" w:hAnsiTheme="minorEastAsia" w:eastAsiaTheme="minorEastAsia"/>
          <w:sz w:val="44"/>
          <w:szCs w:val="44"/>
        </w:rPr>
      </w:pPr>
    </w:p>
    <w:p>
      <w:pPr>
        <w:adjustRightInd/>
        <w:snapToGrid/>
        <w:spacing w:after="0"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重大行政决策制定实施办法</w:t>
      </w:r>
    </w:p>
    <w:p>
      <w:pPr>
        <w:adjustRightInd/>
        <w:snapToGrid/>
        <w:spacing w:after="0" w:line="600" w:lineRule="exact"/>
        <w:rPr>
          <w:rFonts w:ascii="仿宋_GB2312" w:eastAsia="仿宋_GB2312"/>
          <w:sz w:val="32"/>
          <w:szCs w:val="32"/>
        </w:rPr>
      </w:pP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第一章  总  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为了规范医疗保障部门的行政决策行为，明确行政决策责任，减少行政决策失误，保证行政决策质量，根据国务院《全面推进依法行政实施纲要》和省、市相关要求，制定本办法。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局重大行政决策（以下简称“重大决策”）包括以下事项：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（一）受市人大常委会或市政府的委托，由本局负责起草地方性法规、行政规章（送审稿）；</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（二）编制全市医疗保障发展规划；</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（三）制定以本局名义出台的规范性文件或本局起草、提请市政府或市政府办公室发布或转发的规范性文件；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（四）编制医疗保障财政预算、决算、重大资金安排；</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（五）研究全市医疗保障重大基础设施建设项目、国有资产处置方面的重大事项；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（六）涉及医疗保障方面的重要政策措施；</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（七）限制公民、法人和其他组织权利的决定、通知等；</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（八）本机关认为应当列为重大决策的其他事项。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局机关主要领导和分管领导对不属于本办法第二条规定的一般行政事项，可按照科学、效率、合法、公平的原则，参照本规定的有关要求，自行择优决策，但其决策内容应当向行政首长报告。</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人事任免、外事工作、行政问责和重大突发事件的处理，不适用本规定。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局机关重大决策应当坚持以下原则：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（一）科学决策原则。尊重客观规律，运用科学的方式，做到现实性和前瞻性相结合，使决策符合人力资源和社会保障事业的发展趋势，符合社会发展规律；</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（二）民主决策原则。反映民意，集中民智，做到公众参与、专家论证和本机关决定相结合，体现和反映最广大人民群众的根本利益；</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（三）依法决策原则。严格按照法定权限和法定程序进行，正确履行法定职责。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局重大决策应当兼顾公民个人利益、社会公共利益与国家利益，有利于加快梅州振兴发展和促进本市人力资源和社会保障事业全面、协调、可持续发展。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局重大决策通过梅州市医疗保障局网站或新闻媒体等公布。涉及国家秘密、商业秘密和个人隐私的事项除外。</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第二章  决策形式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局重大决策应当经过局党组会或局长办公会集体讨论决定，不得以传阅会签或个别征求意见等形式替代会议审议决定。需提交局党组会或局长办公会决定的，按照局党组会或局长办公会工作规则的要求进行。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局机关主要领导代表局机关对重大行政事项行使决策权，分管领导协助决策。</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经局长办公会决定，由局主要领导委托的分管领导对重大行政事项作出决策的，应当事后向本机关领导班子全体成员通报。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局有关</w:t>
      </w:r>
      <w:r>
        <w:rPr>
          <w:rFonts w:hint="eastAsia" w:ascii="仿宋" w:hAnsi="仿宋" w:eastAsia="仿宋" w:cs="仿宋"/>
          <w:sz w:val="32"/>
          <w:szCs w:val="32"/>
          <w:lang w:val="en-US" w:eastAsia="zh-CN"/>
        </w:rPr>
        <w:t>股</w:t>
      </w:r>
      <w:r>
        <w:rPr>
          <w:rFonts w:hint="eastAsia" w:ascii="仿宋" w:hAnsi="仿宋" w:eastAsia="仿宋" w:cs="仿宋"/>
          <w:sz w:val="32"/>
          <w:szCs w:val="32"/>
        </w:rPr>
        <w:t>室为决策承办单位，负责承办局重大决策事项的调研、方案起草与论证等前期工作。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股</w:t>
      </w:r>
      <w:r>
        <w:rPr>
          <w:rFonts w:hint="eastAsia" w:ascii="仿宋" w:hAnsi="仿宋" w:eastAsia="仿宋" w:cs="仿宋"/>
          <w:sz w:val="32"/>
          <w:szCs w:val="32"/>
        </w:rPr>
        <w:t>室报分管领导批准后，可以委托专家、专业服务机构或者其他有相应资质的组织完成相关专业性工作。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第十一条  局办公室负责组织安排本机关重大决策事项，并提供综合服务。</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第三章  方案准备</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第十二条  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室应当深入开展决策调研工作，全面、准确掌握决策所需的有关情况，采取多种形式广泛听取公众意见和建议，形成决策调研报告（或调研汇报提纲）和决策备选方案。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第十三条  对需要进行多方案比较研究的问题或者存在争议经协商仍未形成一致意见的事项，决策承办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室应当根据公众、专家或部门的不同主张拟订两个以上决策备选方案。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拟订决策备选方案时应当进行决策施行效应的预测。</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室拟订决策备选方案时，不得有下列情形：</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（一）所采集的信息失真或者过时；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（二）遗漏必要的信息；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（三）隐瞒、歪曲真实情况；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（四）泄露需要保密的信息。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第十四条  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室应当对决策备选方案的科学性、可行性、合法性、适当性进行充分论证。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涉及面广、与人民群众利益密切相关的决策事项，可采用报刊、互联网、广播电视等媒介公布或者采取座谈会、听证会、论证会等方式，充分听取社会公众对本局重大决策备选方案的意见，并将意见及采纳情况形成报告。</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第四章  审议决定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第十五条  决策备选方案提交局党组会或局长办公会审议前，应报经分管领导审核同意，并提前送其他局领导审阅。</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涉及法律法规政策的事务，决策承办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室在提交审议前，应当先送局办公室审核，再报经分管领导审核同意。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第十六条  提交局长办公会或局务会审议的重大决策事项议题，由局长确定。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第十七条  提交局党组会或局长办公会审议的重大决策事项，应当报送以下资料：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（一）决策调研报告（或调研汇报提纲）、决策备选方案及说明；</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（二）所征求的意见和建议及其采纳情况；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（三）需要专家评审的，应有专家评审组综合评审意见；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（四）对社会影响较大的事项，应有风险预测报告和防范预案；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（五）国内外有相同或相似项目的，应当报送有关资料；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（六）有关的法律、法规和政策规定，特别是禁止性规定；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（七）须进行成本效益分析的，应当同时报送分析报告。</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上述送审资料，应当按局党组会或局长办公会规定的资料报送时间和要求报送局办公室。</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第十八条  局党组会或局长办公会审议局重大决策事项，必须遵守下列规定：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（一）有三分之二以上组成人员到会；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室向会议作决策方案说明，回答会议组成人员的询问；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（三）决策事项的局分管领导重点阐述意见，并提出决策建议。因故不能到会的，书面提出决策建议；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（四）会议其他组成人员应当发表意见；</w:t>
      </w:r>
    </w:p>
    <w:p>
      <w:pPr>
        <w:adjustRightInd/>
        <w:snapToGrid/>
        <w:spacing w:after="0" w:line="600" w:lineRule="exact"/>
        <w:ind w:left="1" w:firstLine="640" w:firstLineChars="200"/>
        <w:rPr>
          <w:rFonts w:hint="eastAsia" w:ascii="仿宋" w:hAnsi="仿宋" w:eastAsia="仿宋" w:cs="仿宋"/>
          <w:sz w:val="32"/>
          <w:szCs w:val="32"/>
        </w:rPr>
      </w:pPr>
      <w:r>
        <w:rPr>
          <w:rFonts w:hint="eastAsia" w:ascii="仿宋" w:hAnsi="仿宋" w:eastAsia="仿宋" w:cs="仿宋"/>
          <w:sz w:val="32"/>
          <w:szCs w:val="32"/>
        </w:rPr>
        <w:t>（五）局主要领导在组成人员讨论之前不发表倾向性意见。</w:t>
      </w:r>
    </w:p>
    <w:p>
      <w:pPr>
        <w:adjustRightInd/>
        <w:snapToGrid/>
        <w:spacing w:after="0" w:line="600" w:lineRule="exact"/>
        <w:ind w:left="1" w:firstLine="640" w:firstLineChars="200"/>
        <w:rPr>
          <w:rFonts w:hint="eastAsia" w:ascii="仿宋" w:hAnsi="仿宋" w:eastAsia="仿宋" w:cs="仿宋"/>
          <w:sz w:val="32"/>
          <w:szCs w:val="32"/>
        </w:rPr>
      </w:pPr>
      <w:r>
        <w:rPr>
          <w:rFonts w:hint="eastAsia" w:ascii="仿宋" w:hAnsi="仿宋" w:eastAsia="仿宋" w:cs="仿宋"/>
          <w:sz w:val="32"/>
          <w:szCs w:val="32"/>
        </w:rPr>
        <w:t>第十九条  局主要领导可以根据会议集中审议的情况对审议的事项作出同意、不同意、修改、搁置及再次审议的决定。作出同意决定的，由局主要领导或其授权的分管领导签发；作出不同意决定的，决策方案不得实施；作出修改决定的，属文字性修改的，由局主要领导或其授权的分管领导签发，属重大原则或实质内容修改的，应按程序重新审议；作出搁置决定的，超过一年期限，审议方案自动废止；作出再次审议决定的，应按程序重新审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第二十条  局主要领导一般应当根据多数人的意见作出决定，局主要领导也可以根据少数人的意见或综合判断作出决定，但应当说明理由。</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第二十一条  局办公室应当做好本机关重大决策会议记录。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会议记录应当包括以下主要内容：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（一）重大决策会议举行的时间、地点、主持人、出席人员、缺席人员、列席单位及人员、特邀专家、记录人等基本情况；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（二）重大决策事项以及主要问题；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（三）审议过程及会议组成人员的意见；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（四）其他参会人员的意见；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（五）主要分歧意见；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（六）局主要领导的决定。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第二十二条  局办公室应按照《中华人民共和国档案法》的有关规定，形成本机关重大决策事项档案。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本机关重大决策事项档案，包括重大决策会议纪要、会议专项记录、本规定第十七条规定的报送材料，以及决策执行过程中涉及执行评估、督促检查、公众监督和反馈修正等有关材料。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第二十三条  参会人员必须严格遵守会议纪律，对会议未定事项和决定不对外公开的事项以及会议讨论情况，不得对外泄露。</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第五章  决策执行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第二十四条  局办公室应当对本机关重大决策进行工作任务和责任分解，明确执行</w:t>
      </w:r>
      <w:r>
        <w:rPr>
          <w:rFonts w:hint="eastAsia" w:ascii="仿宋" w:hAnsi="仿宋" w:eastAsia="仿宋" w:cs="仿宋"/>
          <w:sz w:val="32"/>
          <w:szCs w:val="32"/>
          <w:lang w:val="en-US" w:eastAsia="zh-CN"/>
        </w:rPr>
        <w:t>股</w:t>
      </w:r>
      <w:r>
        <w:rPr>
          <w:rFonts w:hint="eastAsia" w:ascii="仿宋" w:hAnsi="仿宋" w:eastAsia="仿宋" w:cs="仿宋"/>
          <w:sz w:val="32"/>
          <w:szCs w:val="32"/>
        </w:rPr>
        <w:t>室和工作要求。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涉及跨分管工作范围的，原则上由一位分管领导负责，有关分管领导配合。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第二十五条  有关执行</w:t>
      </w:r>
      <w:r>
        <w:rPr>
          <w:rFonts w:hint="eastAsia" w:ascii="仿宋" w:hAnsi="仿宋" w:eastAsia="仿宋" w:cs="仿宋"/>
          <w:sz w:val="32"/>
          <w:szCs w:val="32"/>
          <w:lang w:val="en-US" w:eastAsia="zh-CN"/>
        </w:rPr>
        <w:t>股</w:t>
      </w:r>
      <w:r>
        <w:rPr>
          <w:rFonts w:hint="eastAsia" w:ascii="仿宋" w:hAnsi="仿宋" w:eastAsia="仿宋" w:cs="仿宋"/>
          <w:sz w:val="32"/>
          <w:szCs w:val="32"/>
        </w:rPr>
        <w:t>室应当根据各自职责，全面、及时、正确地贯彻执行重大决策，不得拒不执行、不完全执行、变相执行、推诿执行、拖延执行。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第二十六条  根据本机关重大决策执行要求，决策执行</w:t>
      </w:r>
      <w:r>
        <w:rPr>
          <w:rFonts w:hint="eastAsia" w:ascii="仿宋" w:hAnsi="仿宋" w:eastAsia="仿宋" w:cs="仿宋"/>
          <w:sz w:val="32"/>
          <w:szCs w:val="32"/>
          <w:lang w:val="en-US" w:eastAsia="zh-CN"/>
        </w:rPr>
        <w:t>股</w:t>
      </w:r>
      <w:r>
        <w:rPr>
          <w:rFonts w:hint="eastAsia" w:ascii="仿宋" w:hAnsi="仿宋" w:eastAsia="仿宋" w:cs="仿宋"/>
          <w:sz w:val="32"/>
          <w:szCs w:val="32"/>
        </w:rPr>
        <w:t>室应当进行决策执行评估,并将评估结论及时报告局主要领导和分管领导。在决策执行过程中,及时将决策事项执行情况向局党组会或局长办公会报告。</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第二十七条  局办公室负责本机关重大决策执行的检查、督办、考核等工作，根据决策方案和局工作部署，采取跟踪检查、督促催办等措施，确保决策方案的正确施行，并及时向主要领导和分管领导报告督查情况。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第二十八条  公民、法人或者其他组织认为本机关重大决策事项应当停止执行或修正的，可以向局办公室提出质疑或建议。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第二十九条  决策执行</w:t>
      </w:r>
      <w:r>
        <w:rPr>
          <w:rFonts w:hint="eastAsia" w:ascii="仿宋" w:hAnsi="仿宋" w:eastAsia="仿宋" w:cs="仿宋"/>
          <w:sz w:val="32"/>
          <w:szCs w:val="32"/>
          <w:lang w:val="en-US" w:eastAsia="zh-CN"/>
        </w:rPr>
        <w:t>股</w:t>
      </w:r>
      <w:r>
        <w:rPr>
          <w:rFonts w:hint="eastAsia" w:ascii="仿宋" w:hAnsi="仿宋" w:eastAsia="仿宋" w:cs="仿宋"/>
          <w:sz w:val="32"/>
          <w:szCs w:val="32"/>
        </w:rPr>
        <w:t>室在执行过程中，发现本机关重大决策因不可抗力或所依赖的客观条件发生变化导致决策目标全部或部分不能实现的，应当及时向主要领导或分管领导报告，并书面提出停止执行、暂缓执行或修正决策的建议。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局主要领导可以根据执行</w:t>
      </w:r>
      <w:r>
        <w:rPr>
          <w:rFonts w:hint="eastAsia" w:ascii="仿宋" w:hAnsi="仿宋" w:eastAsia="仿宋" w:cs="仿宋"/>
          <w:sz w:val="32"/>
          <w:szCs w:val="32"/>
          <w:lang w:val="en-US" w:eastAsia="zh-CN"/>
        </w:rPr>
        <w:t>股</w:t>
      </w:r>
      <w:r>
        <w:rPr>
          <w:rFonts w:hint="eastAsia" w:ascii="仿宋" w:hAnsi="仿宋" w:eastAsia="仿宋" w:cs="仿宋"/>
          <w:sz w:val="32"/>
          <w:szCs w:val="32"/>
        </w:rPr>
        <w:t>室提出的建议或公民、法人及其他组织提出的建议，参照本办法规定的决策程序作出继续执行、停止执行、暂缓执行或修正决策方案的决定。出现紧急情况的，局主要领导可以直接作出决定，但必须记录在案。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第三十条  局主要领导作出停止执行、暂缓执行或修正重大决策决定的，决策执行</w:t>
      </w:r>
      <w:r>
        <w:rPr>
          <w:rFonts w:hint="eastAsia" w:ascii="仿宋" w:hAnsi="仿宋" w:eastAsia="仿宋" w:cs="仿宋"/>
          <w:sz w:val="32"/>
          <w:szCs w:val="32"/>
          <w:lang w:val="en-US" w:eastAsia="zh-CN"/>
        </w:rPr>
        <w:t>股</w:t>
      </w:r>
      <w:r>
        <w:rPr>
          <w:rFonts w:hint="eastAsia" w:ascii="仿宋" w:hAnsi="仿宋" w:eastAsia="仿宋" w:cs="仿宋"/>
          <w:sz w:val="32"/>
          <w:szCs w:val="32"/>
        </w:rPr>
        <w:t>室应当采取有效措施，尽量避免或减少损失。</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第六章  法律责任</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第三十一条  违反本办法，导致本机关重大决策失误的，按照有关法律法规和《梅州市行政执法责任制规定》、本局《行政决策责任追究制度》的规定，追究责任。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第三十二条  决策执行</w:t>
      </w:r>
      <w:r>
        <w:rPr>
          <w:rFonts w:hint="eastAsia" w:ascii="仿宋" w:hAnsi="仿宋" w:eastAsia="仿宋" w:cs="仿宋"/>
          <w:sz w:val="32"/>
          <w:szCs w:val="32"/>
          <w:lang w:val="en-US" w:eastAsia="zh-CN"/>
        </w:rPr>
        <w:t>股</w:t>
      </w:r>
      <w:r>
        <w:rPr>
          <w:rFonts w:hint="eastAsia" w:ascii="仿宋" w:hAnsi="仿宋" w:eastAsia="仿宋" w:cs="仿宋"/>
          <w:sz w:val="32"/>
          <w:szCs w:val="32"/>
        </w:rPr>
        <w:t>室违反本办法，导致本机关重大决策不能全面、及时、正确实施的，按照有关法律法规和《梅州市行政执法责任制规定》、本局《行政决策责任追究制度》的规定，追究责任。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第三十三条  违反本办法第二十二条、第二十三条规定的，按照《中华人民共和国档案法》或《中华人民共和国保守国家秘密法》的有关规定，追究责任。</w:t>
      </w:r>
    </w:p>
    <w:p>
      <w:pPr>
        <w:adjustRightInd/>
        <w:snapToGrid/>
        <w:spacing w:after="0" w:line="600" w:lineRule="exact"/>
        <w:rPr>
          <w:rFonts w:hint="eastAsia" w:ascii="仿宋" w:hAnsi="仿宋" w:eastAsia="仿宋" w:cs="仿宋"/>
          <w:sz w:val="32"/>
          <w:szCs w:val="32"/>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hint="eastAsia" w:asciiTheme="minorEastAsia" w:hAnsiTheme="minorEastAsia" w:eastAsiaTheme="minorEastAsia"/>
          <w:b/>
          <w:bCs/>
          <w:sz w:val="44"/>
          <w:szCs w:val="44"/>
        </w:rPr>
      </w:pPr>
    </w:p>
    <w:p>
      <w:pPr>
        <w:adjustRightInd/>
        <w:snapToGrid/>
        <w:spacing w:after="0" w:line="6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重大行政决策专家咨询论证制度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提高重大决策事项的质量，规范重大决策程序，建立科学论证决策体系，促进重大行政决策的科学化、民主化和制度化，根据国务院《全面推进依法行政实施纲要》和省、市有关要求，结合本局工作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本局重大行政决策事项的专家咨询论证活动，适用本制度。法律、法规和规章另有规定的，依照其规定。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本制度所称重大行政决策（以下简称“重大决策”）的事项见《重大行政决策制定实施办法》第二条。</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重大决策事项，在提交局党组会或局长办公会集体讨论决策前，应按照上级的要求和有关部门的申请以及实际工作需要，先交由专家进行咨询论证。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承办</w:t>
      </w:r>
      <w:r>
        <w:rPr>
          <w:rFonts w:hint="eastAsia" w:ascii="仿宋" w:hAnsi="仿宋" w:eastAsia="仿宋" w:cs="仿宋"/>
          <w:sz w:val="32"/>
          <w:szCs w:val="32"/>
          <w:lang w:val="en-US" w:eastAsia="zh-CN"/>
        </w:rPr>
        <w:t>股</w:t>
      </w:r>
      <w:r>
        <w:rPr>
          <w:rFonts w:hint="eastAsia" w:ascii="仿宋" w:hAnsi="仿宋" w:eastAsia="仿宋" w:cs="仿宋"/>
          <w:sz w:val="32"/>
          <w:szCs w:val="32"/>
        </w:rPr>
        <w:t>室根据决策的需要，负责开展与相关专家的联络和咨询论证的组织工作，组织咨询专家围绕重大决策事项进行研究并提出科学的咨询论证意见，供局机关决策参考。</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局办公室为开展咨询论证的组织和联络提供后勤保障服务。</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咨询论证的内容：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（一）重大决策的可行性研究；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（二）重大决策的合法性研究；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（三）重大决策的经济社会效益研究；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（四）重大决策的执行条件研究；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（五）其他必要的相关因素研究。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咨询论证的程序：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（一）承办</w:t>
      </w:r>
      <w:r>
        <w:rPr>
          <w:rFonts w:hint="eastAsia" w:ascii="仿宋" w:hAnsi="仿宋" w:eastAsia="仿宋" w:cs="仿宋"/>
          <w:sz w:val="32"/>
          <w:szCs w:val="32"/>
          <w:lang w:val="en-US" w:eastAsia="zh-CN"/>
        </w:rPr>
        <w:t>股</w:t>
      </w:r>
      <w:r>
        <w:rPr>
          <w:rFonts w:hint="eastAsia" w:ascii="仿宋" w:hAnsi="仿宋" w:eastAsia="仿宋" w:cs="仿宋"/>
          <w:sz w:val="32"/>
          <w:szCs w:val="32"/>
        </w:rPr>
        <w:t>室组织相应的专家对咨询论证事项进行咨询论证，并根据咨询论证事项的性质和特点确定论证的程序和时间。</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（二）承办</w:t>
      </w:r>
      <w:r>
        <w:rPr>
          <w:rFonts w:hint="eastAsia" w:ascii="仿宋" w:hAnsi="仿宋" w:eastAsia="仿宋" w:cs="仿宋"/>
          <w:sz w:val="32"/>
          <w:szCs w:val="32"/>
          <w:lang w:val="en-US" w:eastAsia="zh-CN"/>
        </w:rPr>
        <w:t>股</w:t>
      </w:r>
      <w:r>
        <w:rPr>
          <w:rFonts w:hint="eastAsia" w:ascii="仿宋" w:hAnsi="仿宋" w:eastAsia="仿宋" w:cs="仿宋"/>
          <w:sz w:val="32"/>
          <w:szCs w:val="32"/>
        </w:rPr>
        <w:t>室根据工作需要邀请局机关有关领导和业务</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室负责人参加咨询论证工作会议，并负责会议记录和材料收集、整理工作。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（三）专家咨询论证意见，由承办</w:t>
      </w:r>
      <w:r>
        <w:rPr>
          <w:rFonts w:hint="eastAsia" w:ascii="仿宋" w:hAnsi="仿宋" w:eastAsia="仿宋" w:cs="仿宋"/>
          <w:sz w:val="32"/>
          <w:szCs w:val="32"/>
          <w:lang w:val="en-US" w:eastAsia="zh-CN"/>
        </w:rPr>
        <w:t>股</w:t>
      </w:r>
      <w:r>
        <w:rPr>
          <w:rFonts w:hint="eastAsia" w:ascii="仿宋" w:hAnsi="仿宋" w:eastAsia="仿宋" w:cs="仿宋"/>
          <w:sz w:val="32"/>
          <w:szCs w:val="32"/>
        </w:rPr>
        <w:t>室汇总报经分管领导审核同意后，提交局党组会或局长办公会作为决策参考。</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（四）局机关决策吸纳专家咨询论证意见情况，由承办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室向相关专家反馈。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咨询论证的方式：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（一）聘任专家论证方式。根据指定或委托组织聘任的专家进行咨询论证。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（二）临聘专家论证方式。对一些特殊决策事项或专业性较强的重大决策事项，邀请国内外专家参加专项咨询论证。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（三）公开招标论证方式。根据需要对特别重大的决策事项，面向国内外专家或中介咨询机构公开招标征集咨询论证意见。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重大决策专家咨询论证所需经费根据部门预算编制的有关规定，提出年度专家咨询论证经费预算，经审定后列入专项工作财政预算。</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第十一条　本制度所称咨询专家，是指经本局聘请的参与重大决策事项咨询论证工作，并提出咨询论证意见的专家。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第十二条　咨询专家应当具备下列条件：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（一）学术造诣高，在相关专业领域具有相当的影响力和知名度；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（二）具有较丰富的实践经验，熟悉有关法律、法规、技术规范和标准；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（三）热心咨询论证事业，责任心强，在时间和精力上能够保证参加委托的咨询论证工作；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（四）具有较高的社会公信力，公正诚信，敢于直言不讳提出咨询论证意见。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第十三条　咨询专家应独立自主开展咨询论证工作，相关</w:t>
      </w:r>
      <w:r>
        <w:rPr>
          <w:rFonts w:hint="eastAsia" w:ascii="仿宋" w:hAnsi="仿宋" w:eastAsia="仿宋" w:cs="仿宋"/>
          <w:sz w:val="32"/>
          <w:szCs w:val="32"/>
          <w:lang w:val="en-US" w:eastAsia="zh-CN"/>
        </w:rPr>
        <w:t>股</w:t>
      </w:r>
      <w:r>
        <w:rPr>
          <w:rFonts w:hint="eastAsia" w:ascii="仿宋" w:hAnsi="仿宋" w:eastAsia="仿宋" w:cs="仿宋"/>
          <w:sz w:val="32"/>
          <w:szCs w:val="32"/>
        </w:rPr>
        <w:t>室应为专家咨询论证提供必要的条件和保障。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第十四条　咨询专家应履行下列义务：</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（一）遵守咨询论证工作章程；</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（二）以实事求是和认真负责的态度履行职责，客观、公正、科学地进行咨询论证；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（三）严格遵守保密纪律，不得泄露咨询论证的内容、过程和结果等情况，不得丢失、外传参与的重大决策事项资料；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（四）接受社会监督和本局重大决策事项的管理。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第十五条　建立咨询论证后评价制度。局机关承办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室应建立咨询论证工作档案和信用评价记录，记载专家咨询论证意见的可靠程度和决策实施效果。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第十六条　建立咨询论证问责制度。对局机关确定需要进行专家咨询论证的重大决策事项，必须组织专家咨询论证。但承办</w:t>
      </w:r>
      <w:r>
        <w:rPr>
          <w:rFonts w:hint="eastAsia" w:ascii="仿宋" w:hAnsi="仿宋" w:eastAsia="仿宋" w:cs="仿宋"/>
          <w:sz w:val="32"/>
          <w:szCs w:val="32"/>
          <w:lang w:val="en-US" w:eastAsia="zh-CN"/>
        </w:rPr>
        <w:t>股</w:t>
      </w:r>
      <w:r>
        <w:rPr>
          <w:rFonts w:hint="eastAsia" w:ascii="仿宋" w:hAnsi="仿宋" w:eastAsia="仿宋" w:cs="仿宋"/>
          <w:sz w:val="32"/>
          <w:szCs w:val="32"/>
        </w:rPr>
        <w:t>室未组织专家咨询论证，或对专家咨询论证意见不予吸纳的，必须说明原因并得到局主要领导的批准，否则，由此造成的工作失误和损失要追究其相应责任。</w:t>
      </w: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r>
        <w:rPr>
          <w:rFonts w:hint="eastAsia" w:asciiTheme="minorEastAsia" w:hAnsiTheme="minorEastAsia" w:eastAsiaTheme="minorEastAsia"/>
          <w:b/>
          <w:bCs/>
          <w:sz w:val="44"/>
          <w:szCs w:val="44"/>
        </w:rPr>
        <w:t>重大行政决策听取意见制度</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建立健全公众参与重大行政决策的规则和程序，完善行政决策信息和智力支持系统，增强行政决策的透明度和公众参与度，根据国务院《全面推进依法行政实施纲要》和省、市有关要求，结合我局工作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本局对重大行政事项做出决策前，应当畅通社情民意反映渠道，扩大公众有序参与，充分听取与决策事项有利害关系的相关各方以及社会各界的意见，全面、准确掌握决策所需的信息，善于集中人民群众的正确意见，真正将决策置于人民群众的监督之下。</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第三条  本制度所称重大行政决策（以下简称“重大决策”）包括的事项见本局《重大行政决策制定实施办法》第二条。</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第四条  重大决策听取意见由决策承办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室组织实施。</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第五条  重大决策听取意见采取公示、调查、座谈、论证、听证等形式进行，充分听取人民群众提出的合理化意见和建议。凡涉及面广或者与公民、法人和其他组织利益密切相关的决策事项，应当采取公示或听证等形式，公开征求意见。征求公众意见，应当综合考虑地域、职业、专业、受影响程度等因素，合理选择被征求意见的公民、法人或者其他组织。</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第六条  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室在必要时应当组织专家评审组对决策事项进行专家咨询论证；或邀请人大代表和政协委员参与重大决策事项，广泛听取人大代表和政协委员的意见和建议。</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第七条  在公开听取意见过程中，决策承办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室应当全面、客观地听取各个方面的意见，特别是对重大决策的反对意见和修改意见。严禁决策承办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室包办公众意见，或者只听取赞成的意见，漏报、瞒报公众意见。</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第八条  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室应将听取意见情况进行归纳整理，形成书面报告，连同决策方案草案一并提交，提交程序见本局《重大行政决策制定实施办法》第十五条。</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第九条  听取意见的结果作为局机关决策的重要依据之一，对公众提出的合理意见应予采纳。</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第十条  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室应当通过报纸、网站及其它方式向社会公布公众提出的意见及采纳情况。对条件不成熟或其它原因未能吸纳的意见，应当说明理由或作出解释。</w:t>
      </w:r>
    </w:p>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重大行政决策风险评估制度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为防范决策风险，减少决策失误，充分发挥风险评估的重要作用，构建和谐社会，实现科学发展，根据国务院《全面推进依法行政实施纲要》等有关要求，结合本局工作实际，制定本制度。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局机关重大行政决策（以下简称“重大决策”）风险评估要求科学、周全、可靠，对重大事项可能出现的稳定风险先期预测、先期评估、先期化解，努力从源头上预防和减少涉稳重大问题的发生。</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第三条  重大决策范围及风险评估主要内容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（一）本制度所称的重大决策，是指全市经济社会发展中，事关广大人民群众切身利益的重大决策，被国家、省、市拟定为重点工程的重大项目，涉及相当数量群众切身利益的重大改革。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（二）每个重大决策实施前，承办</w:t>
      </w:r>
      <w:r>
        <w:rPr>
          <w:rFonts w:hint="eastAsia" w:ascii="仿宋" w:hAnsi="仿宋" w:eastAsia="仿宋" w:cs="仿宋"/>
          <w:sz w:val="32"/>
          <w:szCs w:val="32"/>
          <w:lang w:val="en-US" w:eastAsia="zh-CN"/>
        </w:rPr>
        <w:t>股</w:t>
      </w:r>
      <w:r>
        <w:rPr>
          <w:rFonts w:hint="eastAsia" w:ascii="仿宋" w:hAnsi="仿宋" w:eastAsia="仿宋" w:cs="仿宋"/>
          <w:sz w:val="32"/>
          <w:szCs w:val="32"/>
        </w:rPr>
        <w:t xml:space="preserve">室都要严格坚持客观、准确、公正、实效的原则，从以下四个方面逐一进行分析预测，对决策是否可能出现的问题作出评估，并针对评估预测主动做好化解工作。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重大决策的合法性。主要测评：（1）重大决策的制定和出台是否符合党和国家的大政方针，是否与现行政策、法律、法规相抵触，是否有充足的政策、法律依据；（2）重大事项所涉政策调整、利益调节的对象和范围是否界定准确，调整、调节的依据是否合法。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重大决策的合理性。主要测评：（1）重大决策的事项是否符合经济社会发展规律，是否坚持了以人为本的科学发展观，是否符合大多数群众的利益需求；（2）是否超越绝大多数群众的承受能力，是否把改革的力度、发展的速度和社会可承受的程度有机地统一起来；（3）是否得到大多数群众的理解和支持，是否兼顾了人民群众的现实利益和长远利益，社会各界和广大人民群众的反映如何。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3.重大决策制定的前提条件。主要测评：（1）是否经过严格的审查审批和报批程序；（2）是否经过严谨科学的可行性研究论证；（3）方案是否具体、详实，配套措施是否完善。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4.其他可能影响社会稳定的重大问题。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第四条  重大行政决策风险评估实施步骤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（一）启动决策评估。由重大决策承办</w:t>
      </w:r>
      <w:r>
        <w:rPr>
          <w:rFonts w:hint="eastAsia" w:ascii="仿宋" w:hAnsi="仿宋" w:eastAsia="仿宋" w:cs="仿宋"/>
          <w:sz w:val="32"/>
          <w:szCs w:val="32"/>
          <w:lang w:val="en-US" w:eastAsia="zh-CN"/>
        </w:rPr>
        <w:t>股</w:t>
      </w:r>
      <w:r>
        <w:rPr>
          <w:rFonts w:hint="eastAsia" w:ascii="仿宋" w:hAnsi="仿宋" w:eastAsia="仿宋" w:cs="仿宋"/>
          <w:sz w:val="32"/>
          <w:szCs w:val="32"/>
        </w:rPr>
        <w:t>室牵头，会同有关部门和单位组织启动风险评估。</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基本情况初核。对拟实施的每个重大事项，都要求通过深入细致的调查研究，查阅、收集相关文件、资料，广泛征求各方面意见，了解掌握所评估的对象（重大决策、重大政策、重大项目、重大改革）的有关情况，为预测评估提供准确可靠的第一手资料。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决策风险评估。根据掌握的重大决策资料，按照评估内容，对重大决策确定（重大政策出台、重大工程上马、重大改革实施）之后可能出现的问题和不稳定因素，进行逐项科学分析、准确预测，并客观公正作出评估。必要时，可邀请相关专家、学者、有关党政领导召开稳定风险评估会和听证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（四）制定风险预案。针对风险预测评估出来的问题和隐患，承办</w:t>
      </w:r>
      <w:r>
        <w:rPr>
          <w:rFonts w:hint="eastAsia" w:ascii="仿宋" w:hAnsi="仿宋" w:eastAsia="仿宋" w:cs="仿宋"/>
          <w:sz w:val="32"/>
          <w:szCs w:val="32"/>
          <w:lang w:val="en-US" w:eastAsia="zh-CN"/>
        </w:rPr>
        <w:t>股</w:t>
      </w:r>
      <w:r>
        <w:rPr>
          <w:rFonts w:hint="eastAsia" w:ascii="仿宋" w:hAnsi="仿宋" w:eastAsia="仿宋" w:cs="仿宋"/>
          <w:sz w:val="32"/>
          <w:szCs w:val="32"/>
        </w:rPr>
        <w:t xml:space="preserve">室（单位）应研究制定预防和处置工作预案。预案内容包括：组织领导、职责分工及其联络方式；预防和处置的具体措施；对因重视不够、工作不力而酿成影响稳定重大问题的责任追究办法。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（五）编制评估报告。编制重大决策风险评估报告，内容应包括：（1）该重大事项涉及到的相关情况；（2）预测评估情况；（3）预防和化解涉稳较大问题的工作预案。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（六）审定评估报告。重大决策风险评估报告经局分管领导审定后报局主要负责同志审定，必要时报请市政府领导审定。</w:t>
      </w:r>
    </w:p>
    <w:p>
      <w:pPr>
        <w:adjustRightInd/>
        <w:snapToGrid/>
        <w:spacing w:after="0" w:line="600" w:lineRule="exact"/>
        <w:rPr>
          <w:rFonts w:hint="eastAsia" w:ascii="仿宋" w:hAnsi="仿宋" w:eastAsia="仿宋" w:cs="仿宋"/>
          <w:sz w:val="32"/>
          <w:szCs w:val="32"/>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重大行政决策集体决定制度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进一步推进重大行政决策集体决定规范化、程序化和制度化，促进依法决策、科学决策和民主决策，根据国务院《全面推进依法行政实施纲要》、《国务院关于加强法治政府建设的意见》等有关规定，结合本局工作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局机关重大行政决策（以下简称“重大决策”）集体决定适用本制度。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局机关重大决策事项的范围，参照本局《重大行政决策制定实施办法》第二条确定。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局机关重大决策属于规范性文件范畴的，适用规范性文件制定的有关规定。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局机关重大决策应当在深入调查研究、广泛听取意见和充分论证的基础上，经局机关领导班子集体讨论决定。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局机关集体讨论重大决策应坚持依法、科学、民主的原则。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重大行政决策集体决定的一般程序：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（一）意向征集。根据上级机关工作要求、下级机关工作建议和社会各方面有价值的建议等进行汇总、筛选、分析和研究，形成决策意向信息。经局分管领导核准，或经一定范围内酝酿，确定决策意向；</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（二）调查研究。决策意向确定后，由局主要领导或分管领导牵头，组织有关</w:t>
      </w:r>
      <w:r>
        <w:rPr>
          <w:rFonts w:hint="eastAsia" w:ascii="仿宋" w:hAnsi="仿宋" w:eastAsia="仿宋" w:cs="仿宋"/>
          <w:sz w:val="32"/>
          <w:szCs w:val="32"/>
          <w:lang w:val="en-US" w:eastAsia="zh-CN"/>
        </w:rPr>
        <w:t>股</w:t>
      </w:r>
      <w:r>
        <w:rPr>
          <w:rFonts w:hint="eastAsia" w:ascii="仿宋" w:hAnsi="仿宋" w:eastAsia="仿宋" w:cs="仿宋"/>
          <w:sz w:val="32"/>
          <w:szCs w:val="32"/>
        </w:rPr>
        <w:t>室、有关专家成立调研组，深入开展调查研究，为决策提供客观依据；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（三）咨询论证。必要时在调查研究基础上，召开专家咨询论证会议，就决策事项进行综合分析、论证，形成专家咨询论证意见；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征求意见。根据决策事项的具体情况，征求意见可采用召开座谈会、征求意见会、论证会、听证会和通过新闻媒体公开公示等形式征求意见。征求意见的具体办法依照本局《重大行政决策听取意见制度》确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（五）公示和听证。对事关人民群众切身利益的重大决策，应在决策出台前进行公示或听证，公示和听证情况作为决策的重要依据。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（六）合法性审查。重大决策出台前，须先由局办公室进行合法性审查，并出具书面审查意见。合法性审查通过后方可做出决策。</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（七）形成决策。局机关作出重大决策时，需经过局党组会或局长办公会集体讨论研究决定，具体办法见本局《重大行政决策制定实施办法》第四章。</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（八）公开决策结果。对重大事项作出的决策，应当向社会公布。</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特别重大的行政决策事项，需报请市政府听取人大代表、政协委员、各民主党派或有关人民团体意见，通过市政府常务会议等形式讨论决定，并由市政府发布和组织实施。依法应由市人大审议决定的，还应当向市政府汇报，由其报请市人大常委会审议决定后组织实施。</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建立重大决策集体决定记录制度。经会议讨论决定的，局办公室应记录会议名称、会议主持人、与会人员、会议记录人员、会议通知时间、应到会人数、实到会人数等，以及讨论过程、结果。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重大决策按照民主集中制原则，须经应到人数的过半数同意方可通过。</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第十条   应当集体讨论决定，未经集体讨论作出重大决策的，依照有关规定追究责任。</w:t>
      </w: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重大行政决策责任追究制度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进一步规范决策行为，强化决策责任，实现权责统一，促进依法行政，根据国务院《全面推进依法行政实施纲要》、《中华人民共和国公务员法》、《行政机关公务员处分条例》等有关法律法规以及省、市有关规定，结合本局工作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本制度所称行政决策责任，是指决策者在实施决策过程中，因决策错误应承担的责任。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本制度适用于局机关以及行政机关依法委托的组织中具有决策权的工作人员。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行政决策责任追究应当坚持严格要求、实事求是，权责一致、有错必究、教育与惩戒相结合的原则。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任何单位和个人对行政机关及其工作人员的行政决策过错有权投诉、举报。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决策人有下列行为之一的，应当追究决策过错责任：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（一）决策人未按决策程序进行决策的；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（二）决策人超越法定职权实施决策的；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（三）决策人明知决策错误，未及时采取措施加以纠正的；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（四）决策人违反法律、法规及有关政策，实施决策的；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（五）对应由本人做出的决策进行推诿或者拖延，不做决策的；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（六）其他违反规定实施决策的。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决策责任追究的方式：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（一）责令改正；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（二）责令做出书面检查或公开道歉；</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（三）给予通报批评；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（四）调离工作岗位或者停职；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（五）责令辞职；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（六）行政决策行为构成违纪的，给予行政处分或者纪律处分。涉嫌犯罪的，移送司法机关依法处理。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以上追究方式，可以根据过错情况单处或并处。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决策责任分为直接责任、主要领导责任和领导责任。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（一）直接责任，是指在其职责范围内，不履行、未履行或者不正确履行自己的职责，对造成的损失或者后果起决定性作用的人员；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（二）主要领导责任，是指在其职责范围内，对直接主管的工作不履行、未履行或者不正确履行职责，对造成的损失或者后果负直接领导责任；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（三）领导责任，是指在其职责范围内，对主管的工作或者参与决定的工作不履行、未履行或者不正确履行职责，对造成的损失或者后果负领导责任的人员。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承办人不履行或者不正确履行职责，导致决策过错后果发生的，负直接责任；审核人、批准人应当发现而没有发现，或者发现后未予纠正，导致决策过错后果发生的，审核人负主要领导责任，批准人负领导责任。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审核人改变承办人的正确意见，导致主要领导发生决策过错的，审核人负直接责任，批准人负主要领导责任；审核人应报请而未报请批准人批准直接做出决定，导致决策过错后果发生的，审核人负直接责任。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第十一条  未经承办人拟办、审核人审核，批准人直接做出决定或者改变承办人、审核人正确意见，导致决策过错后果发生的，批准人负直接责任。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第十二条  担任领导职务的人员违规干预，导致决策过错后果发生的，指令、干预的领导负直接责任。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第十三条  集体研究决定，导致过错后果发生的，组织集体研究决定的决策人负主要领导责任。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第十四条  本办法所称的承办人，一般指具体办理决策事项的</w:t>
      </w:r>
      <w:r>
        <w:rPr>
          <w:rFonts w:hint="eastAsia" w:ascii="仿宋" w:hAnsi="仿宋" w:eastAsia="仿宋" w:cs="仿宋"/>
          <w:sz w:val="32"/>
          <w:szCs w:val="32"/>
          <w:lang w:val="en-US" w:eastAsia="zh-CN"/>
        </w:rPr>
        <w:t>股</w:t>
      </w:r>
      <w:r>
        <w:rPr>
          <w:rFonts w:hint="eastAsia" w:ascii="仿宋" w:hAnsi="仿宋" w:eastAsia="仿宋" w:cs="仿宋"/>
          <w:sz w:val="32"/>
          <w:szCs w:val="32"/>
        </w:rPr>
        <w:t>室或单位主要负责人；审核人，一般指行政机关主抓决策事项的负责人或分管领导；批准人，一般指行政机关主要领导及有批准权的分管领导。依照内部管理分工规定或者经授权，由其他工作人员行使审核权、批准权的，具体行使审核权、批准权的人员，视为审核人、批准人。</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第十五条  根据情节轻重、损害后果和影响大小，决策过错分为轻微过错、一般过错、较重过错和严重过错。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（一）对情节明显轻微，造成损害后果较小的轻微过错的直接责任者，责令改正或者给予通报批评，并可以责令负主要领导责任者和领导责任者做出检查。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（二）对情节轻微，造成一定损害后果的一般过错的直接责任者，给予行政警告直至记过处分，对负主要领导责任者，和领导责任者，给予行政警告直至记过处分。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（三）对于情节较重，造成损害后果较重，影响较大的较重过错直接责任者，给予记过、记大过、降级、撤职处分，并调离工作岗位；对负主要领导责任者和领导责任者，给予行政记过直至降级处分。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对于情节严重，造成损害后果严重，影响重大的严重过错的直接责任者，给予行政撤职或者开除处分，涉嫌犯罪的，移送司法机关追究刑事责任；对负主要领导责任者和领导责任者，给予行政记大过以上处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第十六条  有下列情形之一的应当从重或者加重处理：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（一）一年内出现两次以上应予追究决策责任行为的；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（二）干扰、阻止决策责任调查的；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（三）打击、报复、陷害信访人、证人及其他人员的；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（四）决策过错行为造成恶劣影响或严重不良后果的；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（五）法律、法规、规章另有规定的。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第十七条  有下列情形之一的，可以从轻、减轻或者免予处理：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（一）过错行为情节显著轻微，未发生不良影响或者不良后果的；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（二）主动采取措施的，有效避免损失或者挽回影响的；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（三）有效阻止决策过错后果发生的；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（四）出现意外情况或不可抗力因素致使决策过错发生的；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（五）有立功表现的；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（六）法律、法规、规章另有规定的。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第十八条  行政决策责任追究机关由局办公室负责。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第十九条  决策责任追究机关经查，对过错事实清楚、证据充分的，应当做出决策责任追究决定；对事实不清，或者无过错的，不予追究。决策责任追究决定，应当以书面形式做出，并送达责任人和投诉人、检举人、控告人，对行政执法监督机关要求调查或者上级机关指令、责令调查的，应当将结果报送该机关。</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第二十条  责任人享有陈述和申辩权。决策责任追究机关在调查、处理中应当听取责任人的陈述和申辩，并且记录在案；对其合理意见，应当予以采纳。</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第二十一条  责任人对行政决策责任追究机关处理决定不服的，可自收到处理决定之日起十五日内向决策责任追究机关及其上一级机关提出申诉，申诉处理机关应当在三十日内作出决定。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第二十二条  对责任人的处分，应当报上一级主管机关、同级监察和组织人事部门备案。</w:t>
      </w: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重大行政决策实施情况后评价制度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提高重大行政决策的科学性和民主性，加强对局机关重大行政决策执行情况的跟踪、调查与反馈，及时调整和完善有关决策，根据国务院《全面推进依法行政实施纲要》、《国务院关于加强法治政府建设的意见》和省、市有关要求，结合本局工作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局机关的重大行政决策（以下简称“重大决策”）实施情况后评价工作适用本制度。法律、法规、规章另有规定的，依照其规定。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本制度所称重大决策实施情况后评价是负责评价的</w:t>
      </w:r>
      <w:r>
        <w:rPr>
          <w:rFonts w:hint="eastAsia" w:ascii="仿宋" w:hAnsi="仿宋" w:eastAsia="仿宋" w:cs="仿宋"/>
          <w:sz w:val="32"/>
          <w:szCs w:val="32"/>
          <w:lang w:val="en-US" w:eastAsia="zh-CN"/>
        </w:rPr>
        <w:t>股</w:t>
      </w:r>
      <w:r>
        <w:rPr>
          <w:rFonts w:hint="eastAsia" w:ascii="仿宋" w:hAnsi="仿宋" w:eastAsia="仿宋" w:cs="仿宋"/>
          <w:sz w:val="32"/>
          <w:szCs w:val="32"/>
        </w:rPr>
        <w:t>室，依据一定的标准和程序，运用科学、系统、规范的评价方法，对决策执行后的效果作出的综合评定并由此决定决策的延续、调整或终结的活动。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决策执行</w:t>
      </w:r>
      <w:r>
        <w:rPr>
          <w:rFonts w:hint="eastAsia" w:ascii="仿宋" w:hAnsi="仿宋" w:eastAsia="仿宋" w:cs="仿宋"/>
          <w:sz w:val="32"/>
          <w:szCs w:val="32"/>
          <w:lang w:val="en-US" w:eastAsia="zh-CN"/>
        </w:rPr>
        <w:t>股</w:t>
      </w:r>
      <w:r>
        <w:rPr>
          <w:rFonts w:hint="eastAsia" w:ascii="仿宋" w:hAnsi="仿宋" w:eastAsia="仿宋" w:cs="仿宋"/>
          <w:sz w:val="32"/>
          <w:szCs w:val="32"/>
        </w:rPr>
        <w:t>室负责重大决策后评价工作。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重大决策后评价工作应当遵循独立、客观、公正、科学的原则。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重大决策后评价要以有利于检验本局重大决策的效果、效益、效率，有利于提高决策的科学化和民主化水平，有利于实现决策资源的有效配置为目的。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重大决策后评价应当围绕以下内容开展：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（一）决策的实施结果与决策制定目的是否符合；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（二）决策实施的成本、效益分析；</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（三）决策带来的负面因素；</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（四）决策实施在实施对象中的接受程度；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（五）决策实施与经济社会发展方向的符合程度；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（六）决策实施带来的近期效益和长远影响；</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（七）主要经验、教训、措施和建议等。</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重大决策后评价的准备：</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（一）确定评价对象；</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（二）确定合适的评价人员；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（三）制定评价方案。包括评价目的、评价标准、评价方法等。</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重大决策后评价的方法：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（一）运用个体的、群体的访谈方法或采用文件资料审读、抽样问卷、实地调研等方法采集整理决策信息；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（二）实行定性、定量分析相结合的方法统计分析决策信息；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（三）运用一定的政策评价方法评价得出结论并加以综合分析，最终取得综合评定结论。</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重大决策后评价的具体方法可以根据决策特点和后评价的要求确定。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对重大决策后评价的总结：</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（一）撰写决策的总体评价报告。</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1.对决策的制定与实施情况进行总体的评价，对决策后果、决策效率、决策效益做出定性与定量的说明；</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2.对以后决策的制定实施提出建议。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（二）对决策评价活动进行总结。</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1.对决策评价</w:t>
      </w:r>
      <w:r>
        <w:rPr>
          <w:rFonts w:hint="eastAsia" w:ascii="仿宋" w:hAnsi="仿宋" w:eastAsia="仿宋" w:cs="仿宋"/>
          <w:sz w:val="32"/>
          <w:szCs w:val="32"/>
          <w:lang w:val="en-US" w:eastAsia="zh-CN"/>
        </w:rPr>
        <w:t>股</w:t>
      </w:r>
      <w:r>
        <w:rPr>
          <w:rFonts w:hint="eastAsia" w:ascii="仿宋" w:hAnsi="仿宋" w:eastAsia="仿宋" w:cs="仿宋"/>
          <w:sz w:val="32"/>
          <w:szCs w:val="32"/>
        </w:rPr>
        <w:t>室（单位）的效率管理机制进行总结；</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2.对评价人员的选择、评价人员的素质进行评价；</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3.对评价方案与评价程序进行总结；</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4.对评价标准的合理性进行总结。</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形成完整的决策后评价报告，报局主要领导研究审定。局主要领导审定后，形成对决策继续实施、调整或废止的最终决定。</w:t>
      </w:r>
    </w:p>
    <w:p>
      <w:pPr>
        <w:adjustRightInd/>
        <w:snapToGrid/>
        <w:spacing w:after="0" w:line="600" w:lineRule="exact"/>
        <w:rPr>
          <w:rFonts w:hint="eastAsia" w:ascii="仿宋" w:hAnsi="仿宋" w:eastAsia="仿宋" w:cs="仿宋"/>
          <w:sz w:val="32"/>
          <w:szCs w:val="32"/>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政府信息公开工作制度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为做好我局政府信息公开工作，保障公民、法人和其他组织依法获取政府信息，根据《中华人民共和国政府信息公开条例》和省、市有关规定，结合我局实际，制定本制度。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本制度所称政府信息，是指局机关各</w:t>
      </w:r>
      <w:r>
        <w:rPr>
          <w:rFonts w:hint="eastAsia" w:ascii="仿宋" w:hAnsi="仿宋" w:eastAsia="仿宋" w:cs="仿宋"/>
          <w:sz w:val="32"/>
          <w:szCs w:val="32"/>
          <w:lang w:val="en-US" w:eastAsia="zh-CN"/>
        </w:rPr>
        <w:t>股</w:t>
      </w:r>
      <w:r>
        <w:rPr>
          <w:rFonts w:hint="eastAsia" w:ascii="仿宋" w:hAnsi="仿宋" w:eastAsia="仿宋" w:cs="仿宋"/>
          <w:sz w:val="32"/>
          <w:szCs w:val="32"/>
        </w:rPr>
        <w:t>室在履行职责过程中制作或者获取的，以一定形式记录并保存的医疗保障信息。对符合下列基本要求之一的政府信息应当及时公开：</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（一）涉及公民、法人或者其他组织切身利益的；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（二）需要社会公众广泛知晓或者参与的；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（三）反映本</w:t>
      </w:r>
      <w:r>
        <w:rPr>
          <w:rFonts w:hint="eastAsia" w:ascii="仿宋" w:hAnsi="仿宋" w:eastAsia="仿宋" w:cs="仿宋"/>
          <w:sz w:val="32"/>
          <w:szCs w:val="32"/>
          <w:lang w:val="en-US" w:eastAsia="zh-CN"/>
        </w:rPr>
        <w:t>股</w:t>
      </w:r>
      <w:r>
        <w:rPr>
          <w:rFonts w:hint="eastAsia" w:ascii="仿宋" w:hAnsi="仿宋" w:eastAsia="仿宋" w:cs="仿宋"/>
          <w:sz w:val="32"/>
          <w:szCs w:val="32"/>
        </w:rPr>
        <w:t>(室）、本单位职能、办事程序等情况的；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（四）列入政府信息公开目录的；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（五）公民、法人和其他组织依法申请公开的；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（六）其他依照法律、法规和国家有关规定应当公开的。</w:t>
      </w:r>
    </w:p>
    <w:p>
      <w:pPr>
        <w:adjustRightInd/>
        <w:snapToGrid/>
        <w:spacing w:after="0"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 xml:space="preserve"> 第三条  政府信息公开工作应遵循全面、及时、准确、便民的原则。</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第四条   政府信息公开的具体内容应包括：</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（一）概况信息。机构设置及主要职能情况，机构领导及分工情况，内设机构及分工情况，下属单位设置及职能情况。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（二）法规文件。本局负责执行的法律、法规、规章和上级机关制定的规范性文件；以市政府名义发布的人力资源和社会保障规范性文件；本局制定的规范性文件和其他有关文件。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（三）行政许可及其他面向社会公众办理事项的依据、条件、数量、程序、期限、提交材料目录、办理结果及责任</w:t>
      </w:r>
      <w:r>
        <w:rPr>
          <w:rFonts w:hint="eastAsia" w:ascii="仿宋" w:hAnsi="仿宋" w:eastAsia="仿宋" w:cs="仿宋"/>
          <w:sz w:val="32"/>
          <w:szCs w:val="32"/>
          <w:lang w:val="en-US" w:eastAsia="zh-CN"/>
        </w:rPr>
        <w:t>股</w:t>
      </w:r>
      <w:r>
        <w:rPr>
          <w:rFonts w:hint="eastAsia" w:ascii="仿宋" w:hAnsi="仿宋" w:eastAsia="仿宋" w:cs="仿宋"/>
          <w:sz w:val="32"/>
          <w:szCs w:val="32"/>
        </w:rPr>
        <w:t>室或单位、责任人员、联系方式。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（四）行政事业性收费的项目、依据、标准。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（五）年度工作规划或工作要点。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（六）局领导的重要活动和重要会议信息等工作动态，工作中产生的其他业务信息。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（七）其他依照法律、法规和国家有关规定应当公开的信息。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政府信息公开的形式：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市政府信息公开工作要求，我局政府信息公开工作主要采取在本局门户网站上主动公开的方式，并辅以公告栏、报刊、电视、电台、电子显示屏以及其他便于公众及时获取政府信息的形式公开相关信息；对于公民、法人和其他组织依法申请公开的政府信息，采取信函、电报、传真、电子邮件等形式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法律、法规对主动公开政府信息的内容、形式有专门规定的，从其规定。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公民、法人或者其他组织向我局申请获取政府信息的，应当采用书面形式（包括数据电文形式）；采用书面形式确有困难的，申请人可以口头提出，由受理该申请的工作人员代为填写政府信息公开申请。</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政府信息公开申请应当包括下列内容：</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（一）申请人的姓名或者名称、联系方式；</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（二）申请公开的政府信息的内容描述；</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（三）申请公开的政府信息的形式要求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局机关各</w:t>
      </w:r>
      <w:r>
        <w:rPr>
          <w:rFonts w:hint="eastAsia" w:ascii="仿宋" w:hAnsi="仿宋" w:eastAsia="仿宋" w:cs="仿宋"/>
          <w:sz w:val="32"/>
          <w:szCs w:val="32"/>
          <w:lang w:val="en-US" w:eastAsia="zh-CN"/>
        </w:rPr>
        <w:t>股</w:t>
      </w:r>
      <w:r>
        <w:rPr>
          <w:rFonts w:hint="eastAsia" w:ascii="仿宋" w:hAnsi="仿宋" w:eastAsia="仿宋" w:cs="仿宋"/>
          <w:sz w:val="32"/>
          <w:szCs w:val="32"/>
        </w:rPr>
        <w:t>室在公开政府信息前，应按相关规定对拟公开信息进行保密审查。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对政府信息不能确定是否可以公开时，应当依照法律、法规和国家有关规定报有关主管部门或者同级保密工作部门确定。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不得公开涉及国家秘密、商业秘密、个人隐私的政府信息。但是，经权利人同意公开或者根据我局信息公开领导小组一致认为不公开可能对公共利益造成重大影响的涉及商业秘密、个人隐私的政府信息，可以予以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属主动公开范围的政府信息，应自该政府信息形成或变更之日起20个工作日内予以公开；对于公民、法人和其他组织依法申请公开的政府信息，应于10个工作日内予以公开；法律、法规对政府信息公开的期限另有规定的从其规定。对已公开的政府信息作出修改或予以废止的，应及时公布修改后的政府信息或废止说明。</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对申请公开的政府信息，行政机关根据下列情况分别作出答复：</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（一）属于公开范围的，应当告知申请人获取该政府信息的方式和途径；</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（二）属于不予公开范围的，应当告知申请人并说明理由；</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（三）依法不属于本行政机关公开或者该政府信息不存在的，应当告知申请人，对能够确定该政府信息的公开机关的，应当告知申请人该行政机关的名称、联系方式；</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（四）申请内容不明确的，应当告知申请人作出更改、补充。</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按照统一领导、分工负责的要求，政府信息公开工作由局机关政府信息公开工作领导小组统一领导，领导小组办公室负责组织实施。</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第十一条  政府信息公开工作主动接受公开评议、监督。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第十二条  对因不按照《政府信息公开条例》规定和本局《政府信息公开工作制度》的要求履行好政府信息公开工作职责的，将视情追究相关责任人的责任，责任追究制度另行制订。</w:t>
      </w:r>
    </w:p>
    <w:p>
      <w:pPr>
        <w:adjustRightInd/>
        <w:snapToGrid/>
        <w:spacing w:after="0" w:line="600" w:lineRule="exact"/>
        <w:jc w:val="center"/>
        <w:rPr>
          <w:rFonts w:hint="eastAsia" w:ascii="仿宋" w:hAnsi="仿宋" w:eastAsia="仿宋" w:cs="仿宋"/>
          <w:sz w:val="32"/>
          <w:szCs w:val="32"/>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sz w:val="44"/>
          <w:szCs w:val="44"/>
        </w:rPr>
      </w:pPr>
    </w:p>
    <w:p>
      <w:pPr>
        <w:adjustRightInd/>
        <w:snapToGrid/>
        <w:spacing w:after="0" w:line="60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政府信息公开保密审查制度</w:t>
      </w:r>
    </w:p>
    <w:p>
      <w:pPr>
        <w:adjustRightInd/>
        <w:snapToGrid/>
        <w:spacing w:after="0" w:line="600" w:lineRule="exact"/>
        <w:rPr>
          <w:rFonts w:ascii="仿宋_GB2312" w:eastAsia="仿宋_GB2312"/>
          <w:sz w:val="32"/>
          <w:szCs w:val="32"/>
        </w:rPr>
      </w:pPr>
    </w:p>
    <w:p>
      <w:pPr>
        <w:adjustRightInd/>
        <w:snapToGrid/>
        <w:spacing w:after="0" w:line="600" w:lineRule="exact"/>
        <w:rPr>
          <w:rFonts w:hint="eastAsia" w:ascii="仿宋" w:hAnsi="仿宋" w:eastAsia="仿宋" w:cs="仿宋"/>
          <w:sz w:val="32"/>
          <w:szCs w:val="32"/>
        </w:rPr>
      </w:pPr>
      <w:r>
        <w:rPr>
          <w:rFonts w:hint="eastAsia" w:ascii="仿宋_GB2312" w:eastAsia="仿宋_GB2312"/>
          <w:sz w:val="32"/>
          <w:szCs w:val="32"/>
        </w:rPr>
        <w:t xml:space="preserve">   </w:t>
      </w:r>
      <w:r>
        <w:rPr>
          <w:rFonts w:hint="eastAsia" w:ascii="仿宋" w:hAnsi="仿宋" w:eastAsia="仿宋" w:cs="仿宋"/>
          <w:sz w:val="32"/>
          <w:szCs w:val="32"/>
        </w:rPr>
        <w:t xml:space="preserve"> 第一条  为规范我局政府信息公开前的保密审查工作，防止在政府信息公开过程中发生泄密行为，促进政府信息公开工作平稳有序开展，根据《中华人民共和国保守国家秘密法》、《中华人民共和国保守国家秘密法实施办法》和《中华人民共和国政府信息公开条例》以及省、市有关要求，结合我局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本制度适用于局机关对拟公开的政府信息的保密审查。本制度所称保密审查，是指局信息公开领导小组对各</w:t>
      </w:r>
      <w:r>
        <w:rPr>
          <w:rFonts w:hint="eastAsia" w:ascii="仿宋" w:hAnsi="仿宋" w:eastAsia="仿宋" w:cs="仿宋"/>
          <w:sz w:val="32"/>
          <w:szCs w:val="32"/>
          <w:lang w:val="en-US" w:eastAsia="zh-CN"/>
        </w:rPr>
        <w:t>股</w:t>
      </w:r>
      <w:r>
        <w:rPr>
          <w:rFonts w:hint="eastAsia" w:ascii="仿宋" w:hAnsi="仿宋" w:eastAsia="仿宋" w:cs="仿宋"/>
          <w:sz w:val="32"/>
          <w:szCs w:val="32"/>
        </w:rPr>
        <w:t>室拟公开的政府信息，依照法律、法规、规章和国家有关规定，对其内容是否属于国家秘密、商业秘密、个人隐私以及公开后是否会危及国家安全、公共安全、经济安全和社会稳定进行保密审查，并就是否公开作出审查结论或提出处理意见的行为。</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政府信息公开保密审查工作应当遵循“先审查、后公开，谁审查、谁负责，谁公开、谁负责”的原则，既确保国家秘密安全，又方便政府信息公开。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对拟公开政府信息的保密审查，应当以《中华人民共和国保守国家秘密法》等有关法律、法规的规定和国家保密局会同中央机关确定的国家秘密及其秘密具体范围的规定为依据。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局机关政府信息保密审查工作一般按</w:t>
      </w:r>
      <w:r>
        <w:rPr>
          <w:rFonts w:hint="eastAsia" w:ascii="仿宋" w:hAnsi="仿宋" w:eastAsia="仿宋" w:cs="仿宋"/>
          <w:sz w:val="32"/>
          <w:szCs w:val="32"/>
          <w:lang w:val="en-US" w:eastAsia="zh-CN"/>
        </w:rPr>
        <w:t>股</w:t>
      </w:r>
      <w:r>
        <w:rPr>
          <w:rFonts w:hint="eastAsia" w:ascii="仿宋" w:hAnsi="仿宋" w:eastAsia="仿宋" w:cs="仿宋"/>
          <w:sz w:val="32"/>
          <w:szCs w:val="32"/>
        </w:rPr>
        <w:t>室提出意见、分管领导审核、办公室审查、信息公开分管领导审批程序进行，重要的政府信息由局主要领导审批。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局机关各</w:t>
      </w:r>
      <w:r>
        <w:rPr>
          <w:rFonts w:hint="eastAsia" w:ascii="仿宋" w:hAnsi="仿宋" w:eastAsia="仿宋" w:cs="仿宋"/>
          <w:sz w:val="32"/>
          <w:szCs w:val="32"/>
          <w:lang w:val="en-US" w:eastAsia="zh-CN"/>
        </w:rPr>
        <w:t>股</w:t>
      </w:r>
      <w:r>
        <w:rPr>
          <w:rFonts w:hint="eastAsia" w:ascii="仿宋" w:hAnsi="仿宋" w:eastAsia="仿宋" w:cs="仿宋"/>
          <w:sz w:val="32"/>
          <w:szCs w:val="32"/>
        </w:rPr>
        <w:t>室在政府信息产生、审签时应当表明是否属于保密事项；并提出“主动公开”、“依申请公开”、“不予公开”等意见。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对政府信息是否属于国家秘密以及属于何种密级不明确的，属于业务方面的，报送至省医保局确定；其他方面的事项逐级报送至有权确定该事项密级的保密工作部门确定。申请机关应当提供下列材料：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（一）申请确定的政府信息文本；</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（二）说明不能确定原因的申请公文；</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（三）有关主管部门或者同级保密工作部门认为确定工作需要参考的其他材料。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由本局和其他行政机关共同形成的政府信息拟公开时，由主办的行政机关负责保密审查，并在书面征得其他机关单位的同意后方可予以公开。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下列政府信息不得公开：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（一）依照国家保密范围和定密规定，明确标识为“秘密”、“机密”、“绝密”的信息；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（二）虽未标识，但内容涉及国家秘密、商业秘密、个人隐私的信息；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（三）与行政执法有关的，公开后可能会影响检查、调查、取证等执法活动或者会威胁个人生命安全的信息；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（四）正在调查、讨论、处理过程中的信息，但法律、法规和规章另有规定的除外；</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（五）其他危及国家安全、公共安全、经济安全和社会稳定的政府信息。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（六）法律、法规和规章禁止公开的其他政府信息。</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拟公开的政府信息中含有不应公开内容的政府信息，认为能够作区分处理的，应作区分处理，删除不应公开的内容后可以公开，但涉及国家秘密内容的区分处理，应由相关保密工作部门审核确认。</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第十一条  已确定为国家秘密但已超过保密期限并拟公开的政府信息，本局在保密审查确认能够公开后，按保密规定办理解密手续，再予以公开。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第十二条  公民、法人、其他组织对本局政府信息公开工作中因保密问题未公开相关信息存在质疑的，可以向本局提出申请，要求说明不予公开有关信息的依据和理由。</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第十三条  对已列入不予公开范围的政府信息，经复查发现有下列情形之一的，应当依法公开：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（一）应予公开，而认定为不宜公开的；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（二）因情势变化，不予公开的情形已不存在的；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（三）不予公开将严重影响国家安全、公民人身安全的。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第十四条  各</w:t>
      </w:r>
      <w:r>
        <w:rPr>
          <w:rFonts w:hint="eastAsia" w:ascii="仿宋" w:hAnsi="仿宋" w:eastAsia="仿宋" w:cs="仿宋"/>
          <w:sz w:val="32"/>
          <w:szCs w:val="32"/>
          <w:lang w:val="en-US" w:eastAsia="zh-CN"/>
        </w:rPr>
        <w:t>股</w:t>
      </w:r>
      <w:r>
        <w:rPr>
          <w:rFonts w:hint="eastAsia" w:ascii="仿宋" w:hAnsi="仿宋" w:eastAsia="仿宋" w:cs="仿宋"/>
          <w:sz w:val="32"/>
          <w:szCs w:val="32"/>
        </w:rPr>
        <w:t>室应当自觉依法接受上级保密工作部门对本局政府信息公开工作中的保密审查进行监督检查，发现违反国家规定的将按照有关规定追究其责任。</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rPr>
          <w:rFonts w:hint="eastAsia" w:ascii="仿宋_GB2312" w:eastAsia="仿宋_GB2312"/>
          <w:sz w:val="32"/>
          <w:szCs w:val="32"/>
        </w:rPr>
      </w:pPr>
    </w:p>
    <w:p>
      <w:pPr>
        <w:adjustRightInd/>
        <w:snapToGrid/>
        <w:spacing w:after="0" w:line="600" w:lineRule="exact"/>
        <w:rPr>
          <w:rFonts w:hint="eastAsia" w:ascii="仿宋_GB2312" w:eastAsia="仿宋_GB2312"/>
          <w:sz w:val="32"/>
          <w:szCs w:val="32"/>
        </w:rPr>
      </w:pPr>
    </w:p>
    <w:p>
      <w:pPr>
        <w:adjustRightInd/>
        <w:snapToGrid/>
        <w:spacing w:after="0" w:line="600" w:lineRule="exact"/>
        <w:rPr>
          <w:rFonts w:hint="eastAsia" w:ascii="仿宋_GB2312" w:eastAsia="仿宋_GB2312"/>
          <w:sz w:val="32"/>
          <w:szCs w:val="32"/>
        </w:rPr>
      </w:pPr>
    </w:p>
    <w:p>
      <w:pPr>
        <w:adjustRightInd/>
        <w:snapToGrid/>
        <w:spacing w:after="0" w:line="600" w:lineRule="exact"/>
        <w:rPr>
          <w:rFonts w:asciiTheme="majorEastAsia" w:hAnsiTheme="majorEastAsia" w:eastAsiaTheme="majorEastAsia"/>
          <w:b/>
          <w:sz w:val="44"/>
          <w:szCs w:val="44"/>
        </w:rPr>
      </w:pPr>
      <w:r>
        <w:rPr>
          <w:rFonts w:hint="eastAsia" w:ascii="仿宋_GB2312" w:eastAsia="仿宋_GB2312"/>
          <w:sz w:val="32"/>
          <w:szCs w:val="32"/>
        </w:rPr>
        <w:t>附件：</w:t>
      </w: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信息公开保密审查表</w:t>
      </w:r>
    </w:p>
    <w:p>
      <w:pPr>
        <w:adjustRightInd/>
        <w:snapToGrid/>
        <w:spacing w:after="0" w:line="6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编号：</w:t>
      </w:r>
    </w:p>
    <w:tbl>
      <w:tblPr>
        <w:tblStyle w:val="12"/>
        <w:tblW w:w="8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943"/>
        <w:gridCol w:w="1418"/>
        <w:gridCol w:w="955"/>
        <w:gridCol w:w="1140"/>
        <w:gridCol w:w="1412"/>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5" w:type="dxa"/>
            <w:vMerge w:val="restart"/>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拟公开信息</w:t>
            </w:r>
          </w:p>
        </w:tc>
        <w:tc>
          <w:tcPr>
            <w:tcW w:w="943"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标题</w:t>
            </w:r>
          </w:p>
        </w:tc>
        <w:tc>
          <w:tcPr>
            <w:tcW w:w="6115" w:type="dxa"/>
            <w:gridSpan w:val="5"/>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675" w:type="dxa"/>
            <w:vMerge w:val="continue"/>
            <w:vAlign w:val="center"/>
          </w:tcPr>
          <w:p>
            <w:pPr>
              <w:adjustRightInd/>
              <w:snapToGrid/>
              <w:spacing w:after="0" w:line="600" w:lineRule="exact"/>
              <w:rPr>
                <w:rFonts w:hint="eastAsia" w:ascii="仿宋" w:hAnsi="仿宋" w:eastAsia="仿宋" w:cs="仿宋"/>
                <w:kern w:val="2"/>
                <w:sz w:val="32"/>
                <w:szCs w:val="32"/>
              </w:rPr>
            </w:pPr>
          </w:p>
        </w:tc>
        <w:tc>
          <w:tcPr>
            <w:tcW w:w="943"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文号</w:t>
            </w:r>
          </w:p>
        </w:tc>
        <w:tc>
          <w:tcPr>
            <w:tcW w:w="1418" w:type="dxa"/>
            <w:vAlign w:val="center"/>
          </w:tcPr>
          <w:p>
            <w:pPr>
              <w:adjustRightInd/>
              <w:snapToGrid/>
              <w:spacing w:after="0" w:line="600" w:lineRule="exact"/>
              <w:rPr>
                <w:rFonts w:hint="eastAsia" w:ascii="仿宋" w:hAnsi="仿宋" w:eastAsia="仿宋" w:cs="仿宋"/>
                <w:kern w:val="2"/>
                <w:sz w:val="32"/>
                <w:szCs w:val="32"/>
              </w:rPr>
            </w:pPr>
          </w:p>
        </w:tc>
        <w:tc>
          <w:tcPr>
            <w:tcW w:w="955"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密级</w:t>
            </w:r>
          </w:p>
        </w:tc>
        <w:tc>
          <w:tcPr>
            <w:tcW w:w="1140" w:type="dxa"/>
            <w:vAlign w:val="center"/>
          </w:tcPr>
          <w:p>
            <w:pPr>
              <w:adjustRightInd/>
              <w:snapToGrid/>
              <w:spacing w:after="0" w:line="600" w:lineRule="exact"/>
              <w:rPr>
                <w:rFonts w:hint="eastAsia" w:ascii="仿宋" w:hAnsi="仿宋" w:eastAsia="仿宋" w:cs="仿宋"/>
                <w:kern w:val="2"/>
                <w:sz w:val="32"/>
                <w:szCs w:val="32"/>
              </w:rPr>
            </w:pPr>
          </w:p>
        </w:tc>
        <w:tc>
          <w:tcPr>
            <w:tcW w:w="1412"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保密期限</w:t>
            </w:r>
          </w:p>
        </w:tc>
        <w:tc>
          <w:tcPr>
            <w:tcW w:w="1190" w:type="dxa"/>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675" w:type="dxa"/>
            <w:vMerge w:val="continue"/>
            <w:vAlign w:val="center"/>
          </w:tcPr>
          <w:p>
            <w:pPr>
              <w:adjustRightInd/>
              <w:snapToGrid/>
              <w:spacing w:after="0" w:line="600" w:lineRule="exact"/>
              <w:rPr>
                <w:rFonts w:hint="eastAsia" w:ascii="仿宋" w:hAnsi="仿宋" w:eastAsia="仿宋" w:cs="仿宋"/>
                <w:kern w:val="2"/>
                <w:sz w:val="32"/>
                <w:szCs w:val="32"/>
              </w:rPr>
            </w:pPr>
          </w:p>
        </w:tc>
        <w:tc>
          <w:tcPr>
            <w:tcW w:w="943"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内容摘要</w:t>
            </w:r>
          </w:p>
        </w:tc>
        <w:tc>
          <w:tcPr>
            <w:tcW w:w="6115" w:type="dxa"/>
            <w:gridSpan w:val="5"/>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1675"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审查依据</w:t>
            </w:r>
          </w:p>
        </w:tc>
        <w:tc>
          <w:tcPr>
            <w:tcW w:w="7058" w:type="dxa"/>
            <w:gridSpan w:val="6"/>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75"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经办</w:t>
            </w:r>
            <w:r>
              <w:rPr>
                <w:rFonts w:hint="eastAsia" w:ascii="仿宋" w:hAnsi="仿宋" w:eastAsia="仿宋" w:cs="仿宋"/>
                <w:kern w:val="2"/>
                <w:sz w:val="32"/>
                <w:szCs w:val="32"/>
                <w:lang w:val="en-US" w:eastAsia="zh-CN"/>
              </w:rPr>
              <w:t>股</w:t>
            </w:r>
            <w:r>
              <w:rPr>
                <w:rFonts w:hint="eastAsia" w:ascii="仿宋" w:hAnsi="仿宋" w:eastAsia="仿宋" w:cs="仿宋"/>
                <w:kern w:val="2"/>
                <w:sz w:val="32"/>
                <w:szCs w:val="32"/>
              </w:rPr>
              <w:t>室意见</w:t>
            </w:r>
          </w:p>
        </w:tc>
        <w:tc>
          <w:tcPr>
            <w:tcW w:w="7058" w:type="dxa"/>
            <w:gridSpan w:val="6"/>
            <w:vAlign w:val="bottom"/>
          </w:tcPr>
          <w:p>
            <w:pPr>
              <w:adjustRightInd/>
              <w:snapToGrid/>
              <w:spacing w:after="0" w:line="600" w:lineRule="exact"/>
              <w:ind w:firstLine="2880" w:firstLineChars="900"/>
              <w:jc w:val="right"/>
              <w:rPr>
                <w:rFonts w:hint="eastAsia" w:ascii="仿宋" w:hAnsi="仿宋" w:eastAsia="仿宋" w:cs="仿宋"/>
                <w:kern w:val="2"/>
                <w:sz w:val="32"/>
                <w:szCs w:val="32"/>
              </w:rPr>
            </w:pPr>
            <w:r>
              <w:rPr>
                <w:rFonts w:hint="eastAsia" w:ascii="仿宋" w:hAnsi="仿宋" w:eastAsia="仿宋" w:cs="仿宋"/>
                <w:kern w:val="2"/>
                <w:sz w:val="32"/>
                <w:szCs w:val="32"/>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675"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分管领导审核意见</w:t>
            </w:r>
          </w:p>
        </w:tc>
        <w:tc>
          <w:tcPr>
            <w:tcW w:w="7058" w:type="dxa"/>
            <w:gridSpan w:val="6"/>
            <w:vAlign w:val="bottom"/>
          </w:tcPr>
          <w:p>
            <w:pPr>
              <w:adjustRightInd/>
              <w:snapToGrid/>
              <w:spacing w:after="0" w:line="600" w:lineRule="exact"/>
              <w:ind w:firstLine="2880" w:firstLineChars="900"/>
              <w:jc w:val="right"/>
              <w:rPr>
                <w:rFonts w:hint="eastAsia" w:ascii="仿宋" w:hAnsi="仿宋" w:eastAsia="仿宋" w:cs="仿宋"/>
                <w:kern w:val="2"/>
                <w:sz w:val="32"/>
                <w:szCs w:val="32"/>
              </w:rPr>
            </w:pPr>
            <w:r>
              <w:rPr>
                <w:rFonts w:hint="eastAsia" w:ascii="仿宋" w:hAnsi="仿宋" w:eastAsia="仿宋" w:cs="仿宋"/>
                <w:kern w:val="2"/>
                <w:sz w:val="32"/>
                <w:szCs w:val="32"/>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675"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办公室审查意见</w:t>
            </w:r>
          </w:p>
        </w:tc>
        <w:tc>
          <w:tcPr>
            <w:tcW w:w="7058" w:type="dxa"/>
            <w:gridSpan w:val="6"/>
            <w:vAlign w:val="center"/>
          </w:tcPr>
          <w:p>
            <w:pPr>
              <w:adjustRightInd/>
              <w:snapToGrid/>
              <w:spacing w:after="0" w:line="600" w:lineRule="exact"/>
              <w:ind w:firstLine="3040" w:firstLineChars="950"/>
              <w:rPr>
                <w:rFonts w:hint="eastAsia" w:ascii="仿宋" w:hAnsi="仿宋" w:eastAsia="仿宋" w:cs="仿宋"/>
                <w:kern w:val="2"/>
                <w:sz w:val="32"/>
                <w:szCs w:val="32"/>
              </w:rPr>
            </w:pPr>
          </w:p>
          <w:p>
            <w:pPr>
              <w:adjustRightInd/>
              <w:snapToGrid/>
              <w:spacing w:after="0" w:line="600" w:lineRule="exact"/>
              <w:ind w:firstLine="3040" w:firstLineChars="950"/>
              <w:rPr>
                <w:rFonts w:hint="eastAsia" w:ascii="仿宋" w:hAnsi="仿宋" w:eastAsia="仿宋" w:cs="仿宋"/>
                <w:kern w:val="2"/>
                <w:sz w:val="32"/>
                <w:szCs w:val="32"/>
              </w:rPr>
            </w:pPr>
            <w:r>
              <w:rPr>
                <w:rFonts w:hint="eastAsia" w:ascii="仿宋" w:hAnsi="仿宋" w:eastAsia="仿宋" w:cs="仿宋"/>
                <w:kern w:val="2"/>
                <w:sz w:val="32"/>
                <w:szCs w:val="32"/>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1675"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信息公开分管领导签批意见</w:t>
            </w:r>
          </w:p>
        </w:tc>
        <w:tc>
          <w:tcPr>
            <w:tcW w:w="7058" w:type="dxa"/>
            <w:gridSpan w:val="6"/>
            <w:vAlign w:val="center"/>
          </w:tcPr>
          <w:p>
            <w:pPr>
              <w:adjustRightInd/>
              <w:snapToGrid/>
              <w:spacing w:after="0" w:line="600" w:lineRule="exact"/>
              <w:ind w:firstLine="640" w:firstLineChars="200"/>
              <w:rPr>
                <w:rFonts w:hint="eastAsia" w:ascii="仿宋" w:hAnsi="仿宋" w:eastAsia="仿宋" w:cs="仿宋"/>
                <w:kern w:val="2"/>
                <w:sz w:val="32"/>
                <w:szCs w:val="32"/>
              </w:rPr>
            </w:pPr>
          </w:p>
          <w:p>
            <w:pPr>
              <w:adjustRightInd/>
              <w:snapToGrid/>
              <w:spacing w:after="0" w:line="600" w:lineRule="exact"/>
              <w:ind w:firstLine="640" w:firstLineChars="200"/>
              <w:rPr>
                <w:rFonts w:hint="eastAsia" w:ascii="仿宋" w:hAnsi="仿宋" w:eastAsia="仿宋" w:cs="仿宋"/>
                <w:kern w:val="2"/>
                <w:sz w:val="32"/>
                <w:szCs w:val="32"/>
              </w:rPr>
            </w:pPr>
          </w:p>
          <w:p>
            <w:pPr>
              <w:adjustRightInd/>
              <w:snapToGrid/>
              <w:spacing w:after="0" w:line="600" w:lineRule="exact"/>
              <w:ind w:firstLine="3040" w:firstLineChars="950"/>
              <w:rPr>
                <w:rFonts w:hint="eastAsia" w:ascii="仿宋" w:hAnsi="仿宋" w:eastAsia="仿宋" w:cs="仿宋"/>
                <w:kern w:val="2"/>
                <w:sz w:val="32"/>
                <w:szCs w:val="32"/>
              </w:rPr>
            </w:pPr>
            <w:r>
              <w:rPr>
                <w:rFonts w:hint="eastAsia" w:ascii="仿宋" w:hAnsi="仿宋" w:eastAsia="仿宋" w:cs="仿宋"/>
                <w:kern w:val="2"/>
                <w:sz w:val="32"/>
                <w:szCs w:val="32"/>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jc w:val="center"/>
        </w:trPr>
        <w:tc>
          <w:tcPr>
            <w:tcW w:w="1675"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局主要领导审批意见</w:t>
            </w:r>
          </w:p>
        </w:tc>
        <w:tc>
          <w:tcPr>
            <w:tcW w:w="7058" w:type="dxa"/>
            <w:gridSpan w:val="6"/>
            <w:vAlign w:val="bottom"/>
          </w:tcPr>
          <w:p>
            <w:pPr>
              <w:adjustRightInd/>
              <w:snapToGrid/>
              <w:spacing w:after="0" w:line="600" w:lineRule="exact"/>
              <w:jc w:val="right"/>
              <w:rPr>
                <w:rFonts w:hint="eastAsia" w:ascii="仿宋" w:hAnsi="仿宋" w:eastAsia="仿宋" w:cs="仿宋"/>
                <w:kern w:val="2"/>
                <w:sz w:val="32"/>
                <w:szCs w:val="32"/>
              </w:rPr>
            </w:pPr>
          </w:p>
          <w:p>
            <w:pPr>
              <w:adjustRightInd/>
              <w:snapToGrid/>
              <w:spacing w:after="0" w:line="600" w:lineRule="exact"/>
              <w:jc w:val="right"/>
              <w:rPr>
                <w:rFonts w:hint="eastAsia" w:ascii="仿宋" w:hAnsi="仿宋" w:eastAsia="仿宋" w:cs="仿宋"/>
                <w:kern w:val="2"/>
                <w:sz w:val="32"/>
                <w:szCs w:val="32"/>
              </w:rPr>
            </w:pPr>
          </w:p>
          <w:p>
            <w:pPr>
              <w:adjustRightInd/>
              <w:snapToGrid/>
              <w:spacing w:after="0" w:line="600" w:lineRule="exact"/>
              <w:ind w:firstLine="2880" w:firstLineChars="900"/>
              <w:jc w:val="right"/>
              <w:rPr>
                <w:rFonts w:hint="eastAsia" w:ascii="仿宋" w:hAnsi="仿宋" w:eastAsia="仿宋" w:cs="仿宋"/>
                <w:kern w:val="2"/>
                <w:sz w:val="32"/>
                <w:szCs w:val="32"/>
              </w:rPr>
            </w:pPr>
            <w:r>
              <w:rPr>
                <w:rFonts w:hint="eastAsia" w:ascii="仿宋" w:hAnsi="仿宋" w:eastAsia="仿宋" w:cs="仿宋"/>
                <w:kern w:val="2"/>
                <w:sz w:val="32"/>
                <w:szCs w:val="32"/>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atLeast"/>
          <w:jc w:val="center"/>
        </w:trPr>
        <w:tc>
          <w:tcPr>
            <w:tcW w:w="1675"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备注</w:t>
            </w:r>
          </w:p>
        </w:tc>
        <w:tc>
          <w:tcPr>
            <w:tcW w:w="7058" w:type="dxa"/>
            <w:gridSpan w:val="6"/>
            <w:vAlign w:val="center"/>
          </w:tcPr>
          <w:p>
            <w:pPr>
              <w:adjustRightInd/>
              <w:snapToGrid/>
              <w:spacing w:after="0" w:line="600" w:lineRule="exact"/>
              <w:rPr>
                <w:rFonts w:hint="eastAsia" w:ascii="仿宋" w:hAnsi="仿宋" w:eastAsia="仿宋" w:cs="仿宋"/>
                <w:kern w:val="2"/>
                <w:sz w:val="32"/>
                <w:szCs w:val="32"/>
              </w:rPr>
            </w:pPr>
          </w:p>
        </w:tc>
      </w:tr>
    </w:tbl>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学习制度</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为进一步提高局机关干部的政治思想业务素质，努力营造良好的学习氛围，创建学习型机关，争做学习型干部，使学习制度化、规范化、系统化，特制定本制度。</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一、参加人员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全局干部职工。</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二、时间安排</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1、每月第三周星期一上午为局领导班子专题学习时间；</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2、每月第三周星期五下午为各</w:t>
      </w:r>
      <w:r>
        <w:rPr>
          <w:rFonts w:hint="eastAsia" w:ascii="仿宋" w:hAnsi="仿宋" w:eastAsia="仿宋" w:cs="仿宋"/>
          <w:sz w:val="32"/>
          <w:szCs w:val="32"/>
          <w:lang w:val="en-US" w:eastAsia="zh-CN"/>
        </w:rPr>
        <w:t>股</w:t>
      </w:r>
      <w:r>
        <w:rPr>
          <w:rFonts w:hint="eastAsia" w:ascii="仿宋" w:hAnsi="仿宋" w:eastAsia="仿宋" w:cs="仿宋"/>
          <w:sz w:val="32"/>
          <w:szCs w:val="32"/>
        </w:rPr>
        <w:t>室或党小组集中学习时间。</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三、学习内容</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认真学习习近平新时代中国特色社会主义思想；认真学习《中国共产党章程》和党内重要规章制度；认真学习党中央、国务院和中央领导同志的重要讲话、批示、指示精神，学习省、市重要会议、文件和重大工作部署；学习市场经济理论、现代管理知识、和法律知识；学习社会保险相关业务知识，重点学习医疗保障政策法规。</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四、学习方式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集中学习与个人自学相结合方式。政治理论学习采取局领导、</w:t>
      </w:r>
      <w:r>
        <w:rPr>
          <w:rFonts w:hint="eastAsia" w:ascii="仿宋" w:hAnsi="仿宋" w:eastAsia="仿宋" w:cs="仿宋"/>
          <w:sz w:val="32"/>
          <w:szCs w:val="32"/>
          <w:lang w:val="en-US" w:eastAsia="zh-CN"/>
        </w:rPr>
        <w:t>股</w:t>
      </w:r>
      <w:r>
        <w:rPr>
          <w:rFonts w:hint="eastAsia" w:ascii="仿宋" w:hAnsi="仿宋" w:eastAsia="仿宋" w:cs="仿宋"/>
          <w:sz w:val="32"/>
          <w:szCs w:val="32"/>
        </w:rPr>
        <w:t>室或党小组集中学习和个人自学相结合的方式；业务学习采取举办业务培训班的方式集中学习与</w:t>
      </w:r>
      <w:r>
        <w:rPr>
          <w:rFonts w:hint="eastAsia" w:ascii="仿宋" w:hAnsi="仿宋" w:eastAsia="仿宋" w:cs="仿宋"/>
          <w:sz w:val="32"/>
          <w:szCs w:val="32"/>
          <w:lang w:val="en-US" w:eastAsia="zh-CN"/>
        </w:rPr>
        <w:t>股</w:t>
      </w:r>
      <w:r>
        <w:rPr>
          <w:rFonts w:hint="eastAsia" w:ascii="仿宋" w:hAnsi="仿宋" w:eastAsia="仿宋" w:cs="仿宋"/>
          <w:sz w:val="32"/>
          <w:szCs w:val="32"/>
        </w:rPr>
        <w:t>室、个人自学相结合的方式。</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五、学习要求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1、严肃学习纪律。端正学习态度，严格考勤制度，按时参加学习，局领导班子专题学习及党小组集中学习需签名并做好记录。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2、认真做好笔记。人手一本学习手册，作为考核检查依据。</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3、统筹兼顾学习。必须正确处理学习与工作的关系，不能因工作忙而放松学习，做到学习和工作相结合，互促进。</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六、组织保障及考核</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1、办公室根据上级要求及业务需要负责拟定局机关全年学习计划。各</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室负责人及党小组长为学习“第一责任人”，负责制定</w:t>
      </w:r>
      <w:r>
        <w:rPr>
          <w:rFonts w:hint="eastAsia" w:ascii="仿宋" w:hAnsi="仿宋" w:eastAsia="仿宋" w:cs="仿宋"/>
          <w:sz w:val="32"/>
          <w:szCs w:val="32"/>
          <w:lang w:val="en-US" w:eastAsia="zh-CN"/>
        </w:rPr>
        <w:t>股</w:t>
      </w:r>
      <w:r>
        <w:rPr>
          <w:rFonts w:hint="eastAsia" w:ascii="仿宋" w:hAnsi="仿宋" w:eastAsia="仿宋" w:cs="仿宋"/>
          <w:sz w:val="32"/>
          <w:szCs w:val="32"/>
        </w:rPr>
        <w:t>室及党小组的学习计划，定期组织学习。</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2、办公室负责做好学习的考勤考核工作。考核分平时考核及年度考核相结合的方式，平时考核采用不定期检查各</w:t>
      </w:r>
      <w:r>
        <w:rPr>
          <w:rFonts w:hint="eastAsia" w:ascii="仿宋" w:hAnsi="仿宋" w:eastAsia="仿宋" w:cs="仿宋"/>
          <w:sz w:val="32"/>
          <w:szCs w:val="32"/>
          <w:lang w:val="en-US" w:eastAsia="zh-CN"/>
        </w:rPr>
        <w:t>股</w:t>
      </w:r>
      <w:r>
        <w:rPr>
          <w:rFonts w:hint="eastAsia" w:ascii="仿宋" w:hAnsi="仿宋" w:eastAsia="仿宋" w:cs="仿宋"/>
          <w:sz w:val="32"/>
          <w:szCs w:val="32"/>
        </w:rPr>
        <w:t>室或各党小组及个人的学习记录。年度考核内容为：学习制度及学习要求执行情况、学习内容理解和执行情况等。</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3、实行考核内容与年度各项考核评优相挂钩的制度。</w:t>
      </w:r>
      <w:r>
        <w:rPr>
          <w:rFonts w:hint="eastAsia" w:ascii="仿宋" w:hAnsi="仿宋" w:eastAsia="仿宋" w:cs="仿宋"/>
          <w:sz w:val="32"/>
          <w:szCs w:val="32"/>
          <w:lang w:val="en-US" w:eastAsia="zh-CN"/>
        </w:rPr>
        <w:t>股</w:t>
      </w:r>
      <w:r>
        <w:rPr>
          <w:rFonts w:hint="eastAsia" w:ascii="仿宋" w:hAnsi="仿宋" w:eastAsia="仿宋" w:cs="仿宋"/>
          <w:sz w:val="32"/>
          <w:szCs w:val="32"/>
        </w:rPr>
        <w:t>室未做好学习计划及组织学习工作的不能评为先进</w:t>
      </w:r>
      <w:r>
        <w:rPr>
          <w:rFonts w:hint="eastAsia" w:ascii="仿宋" w:hAnsi="仿宋" w:eastAsia="仿宋" w:cs="仿宋"/>
          <w:sz w:val="32"/>
          <w:szCs w:val="32"/>
          <w:lang w:val="en-US" w:eastAsia="zh-CN"/>
        </w:rPr>
        <w:t>股</w:t>
      </w:r>
      <w:r>
        <w:rPr>
          <w:rFonts w:hint="eastAsia" w:ascii="仿宋" w:hAnsi="仿宋" w:eastAsia="仿宋" w:cs="仿宋"/>
          <w:sz w:val="32"/>
          <w:szCs w:val="32"/>
        </w:rPr>
        <w:t>室。个人无故缺席集中学习二次以上的，未做好学习笔记的取消当年度的评先评优资格。</w:t>
      </w: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公文办理制度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ascii="仿宋_GB2312" w:eastAsia="仿宋_GB2312"/>
          <w:sz w:val="32"/>
          <w:szCs w:val="32"/>
        </w:rPr>
      </w:pPr>
      <w:r>
        <w:rPr>
          <w:rFonts w:hint="eastAsia" w:ascii="仿宋_GB2312" w:eastAsia="仿宋_GB2312"/>
          <w:sz w:val="32"/>
          <w:szCs w:val="32"/>
        </w:rPr>
        <w:t>为提高局机关办文质量和工作效率，使公文处理工作规范化、制度化，根据《中国共产党机关公文处理条例》等有关规定，结合我局实际，制定本制度。</w:t>
      </w:r>
    </w:p>
    <w:p>
      <w:pPr>
        <w:adjustRightInd/>
        <w:snapToGrid/>
        <w:spacing w:after="0" w:line="60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 一、公文办理原则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（一）市医疗保障局文件是传达贯彻党和国家方针、政策，发布规章制度，实施行政措施，请示和答复问题，指导、布置和商洽工作，报告情况，交流经验的重要工具。</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（二）局办公室是公文处理工作的管理部门，负责指导并办理各</w:t>
      </w:r>
      <w:r>
        <w:rPr>
          <w:rFonts w:hint="eastAsia" w:ascii="仿宋" w:hAnsi="仿宋" w:eastAsia="仿宋" w:cs="仿宋"/>
          <w:sz w:val="32"/>
          <w:szCs w:val="32"/>
          <w:lang w:val="en-US" w:eastAsia="zh-CN"/>
        </w:rPr>
        <w:t>股</w:t>
      </w:r>
      <w:r>
        <w:rPr>
          <w:rFonts w:hint="eastAsia" w:ascii="仿宋" w:hAnsi="仿宋" w:eastAsia="仿宋" w:cs="仿宋"/>
          <w:sz w:val="32"/>
          <w:szCs w:val="32"/>
        </w:rPr>
        <w:t>室的公文处理工作。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（三）公文处理必须做到及时、准确、安全。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（四）在公文处理工作中，必须严格执行国家保密法律、法规和有关保密规定，确保国家秘密安全。</w:t>
      </w:r>
    </w:p>
    <w:p>
      <w:pPr>
        <w:adjustRightInd/>
        <w:snapToGrid/>
        <w:spacing w:after="0" w:line="60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二、办文程序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公文办理分收文和发文。</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收文办理一般包括签收、登记、分发、拟办、批办、承办、催办、查办、立卷、归档、销毁等程序。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发文办理一般包括拟稿、签发、把关、编号、缮印、校对、用印、登记、分发、立卷、归档、销毁等程序。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（一）收文、归档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1、局办公室统一负责收文工作。对收到的文件要认真审阅并提出拟办意见，通过本局OA系统送局领导批阅后，及时转有关</w:t>
      </w:r>
      <w:r>
        <w:rPr>
          <w:rFonts w:hint="eastAsia" w:ascii="仿宋" w:hAnsi="仿宋" w:eastAsia="仿宋" w:cs="仿宋"/>
          <w:sz w:val="32"/>
          <w:szCs w:val="32"/>
          <w:lang w:val="en-US" w:eastAsia="zh-CN"/>
        </w:rPr>
        <w:t>股</w:t>
      </w:r>
      <w:r>
        <w:rPr>
          <w:rFonts w:hint="eastAsia" w:ascii="仿宋" w:hAnsi="仿宋" w:eastAsia="仿宋" w:cs="仿宋"/>
          <w:sz w:val="32"/>
          <w:szCs w:val="32"/>
        </w:rPr>
        <w:t>室承办（传阅）。</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2、办文</w:t>
      </w:r>
      <w:r>
        <w:rPr>
          <w:rFonts w:hint="eastAsia" w:ascii="仿宋" w:hAnsi="仿宋" w:eastAsia="仿宋" w:cs="仿宋"/>
          <w:sz w:val="32"/>
          <w:szCs w:val="32"/>
          <w:lang w:val="en-US" w:eastAsia="zh-CN"/>
        </w:rPr>
        <w:t>股</w:t>
      </w:r>
      <w:r>
        <w:rPr>
          <w:rFonts w:hint="eastAsia" w:ascii="仿宋" w:hAnsi="仿宋" w:eastAsia="仿宋" w:cs="仿宋"/>
          <w:sz w:val="32"/>
          <w:szCs w:val="32"/>
        </w:rPr>
        <w:t>室承办的文件，由办文</w:t>
      </w:r>
      <w:r>
        <w:rPr>
          <w:rFonts w:hint="eastAsia" w:ascii="仿宋" w:hAnsi="仿宋" w:eastAsia="仿宋" w:cs="仿宋"/>
          <w:sz w:val="32"/>
          <w:szCs w:val="32"/>
          <w:lang w:val="en-US" w:eastAsia="zh-CN"/>
        </w:rPr>
        <w:t>股</w:t>
      </w:r>
      <w:r>
        <w:rPr>
          <w:rFonts w:hint="eastAsia" w:ascii="仿宋" w:hAnsi="仿宋" w:eastAsia="仿宋" w:cs="仿宋"/>
          <w:sz w:val="32"/>
          <w:szCs w:val="32"/>
        </w:rPr>
        <w:t>室指定专人负责签收。要及时按局领导批文的意见限时办理。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3、局领导和各</w:t>
      </w:r>
      <w:r>
        <w:rPr>
          <w:rFonts w:hint="eastAsia" w:ascii="仿宋" w:hAnsi="仿宋" w:eastAsia="仿宋" w:cs="仿宋"/>
          <w:sz w:val="32"/>
          <w:szCs w:val="32"/>
          <w:lang w:val="en-US" w:eastAsia="zh-CN"/>
        </w:rPr>
        <w:t>股</w:t>
      </w:r>
      <w:r>
        <w:rPr>
          <w:rFonts w:hint="eastAsia" w:ascii="仿宋" w:hAnsi="仿宋" w:eastAsia="仿宋" w:cs="仿宋"/>
          <w:sz w:val="32"/>
          <w:szCs w:val="32"/>
        </w:rPr>
        <w:t>室负责同志外出开会领取的上级会议文件、资料，会后应送回办公室登记、保存。因工作需要留用，须办理借阅手续。</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4、局办公室每年定期清理文件，当年的文件、材料于次年3月底前移交档案室。</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（二）发文</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1、凡涉及本局各职能部门的各种一般性文稿（包括文件、总结、情况汇报、调研报告和领导讲话材料等），由分管局领导组织有关</w:t>
      </w:r>
      <w:r>
        <w:rPr>
          <w:rFonts w:hint="eastAsia" w:ascii="仿宋" w:hAnsi="仿宋" w:eastAsia="仿宋" w:cs="仿宋"/>
          <w:sz w:val="32"/>
          <w:szCs w:val="32"/>
          <w:lang w:val="en-US" w:eastAsia="zh-CN"/>
        </w:rPr>
        <w:t>股</w:t>
      </w:r>
      <w:r>
        <w:rPr>
          <w:rFonts w:hint="eastAsia" w:ascii="仿宋" w:hAnsi="仿宋" w:eastAsia="仿宋" w:cs="仿宋"/>
          <w:sz w:val="32"/>
          <w:szCs w:val="32"/>
        </w:rPr>
        <w:t>室起草，修改把关后直接审定签发。综合性重要文稿送办公室先把关后，报局长签发，局长亦可授权分管局领导签发。</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2、已经局领导签发的文件，如需作涉及内容的实质性修改，须报原签发人复审。</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3、送市委、市政府及市相关部门的文件，由分管局领导指定相关业务</w:t>
      </w:r>
      <w:r>
        <w:rPr>
          <w:rFonts w:hint="eastAsia" w:ascii="仿宋" w:hAnsi="仿宋" w:eastAsia="仿宋" w:cs="仿宋"/>
          <w:sz w:val="32"/>
          <w:szCs w:val="32"/>
          <w:lang w:val="en-US" w:eastAsia="zh-CN"/>
        </w:rPr>
        <w:t>股</w:t>
      </w:r>
      <w:r>
        <w:rPr>
          <w:rFonts w:hint="eastAsia" w:ascii="仿宋" w:hAnsi="仿宋" w:eastAsia="仿宋" w:cs="仿宋"/>
          <w:sz w:val="32"/>
          <w:szCs w:val="32"/>
        </w:rPr>
        <w:t>室专人送达。</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4、经局领导同志口头批示的，办文单位应当在公文稿纸上注明。</w:t>
      </w:r>
    </w:p>
    <w:p>
      <w:pPr>
        <w:adjustRightInd/>
        <w:snapToGrid/>
        <w:spacing w:after="0" w:line="600" w:lineRule="exact"/>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三、办理公文的要求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（一）办文</w:t>
      </w:r>
      <w:r>
        <w:rPr>
          <w:rFonts w:hint="eastAsia" w:ascii="仿宋" w:hAnsi="仿宋" w:eastAsia="仿宋" w:cs="仿宋"/>
          <w:sz w:val="32"/>
          <w:szCs w:val="32"/>
          <w:lang w:val="en-US" w:eastAsia="zh-CN"/>
        </w:rPr>
        <w:t>股</w:t>
      </w:r>
      <w:r>
        <w:rPr>
          <w:rFonts w:hint="eastAsia" w:ascii="仿宋" w:hAnsi="仿宋" w:eastAsia="仿宋" w:cs="仿宋"/>
          <w:sz w:val="32"/>
          <w:szCs w:val="32"/>
        </w:rPr>
        <w:t>室对承办文件（材料）的处理要及时、准确、迅速，急件急办，不拖不压。对个别需较长时间办理的文件（材料），局办公室要视情况催办。</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（二）办文</w:t>
      </w:r>
      <w:r>
        <w:rPr>
          <w:rFonts w:hint="eastAsia" w:ascii="仿宋" w:hAnsi="仿宋" w:eastAsia="仿宋" w:cs="仿宋"/>
          <w:sz w:val="32"/>
          <w:szCs w:val="32"/>
          <w:lang w:val="en-US" w:eastAsia="zh-CN"/>
        </w:rPr>
        <w:t>股</w:t>
      </w:r>
      <w:r>
        <w:rPr>
          <w:rFonts w:hint="eastAsia" w:ascii="仿宋" w:hAnsi="仿宋" w:eastAsia="仿宋" w:cs="仿宋"/>
          <w:sz w:val="32"/>
          <w:szCs w:val="32"/>
        </w:rPr>
        <w:t>室对草拟、修改文稿要做到中心突出、观点鲜明、结构严谨、层次分明、表述准确、符合逻辑、文字简练、格式完备。如有涉及方针、政策的地方，要认真核对上级文件，做到准确无误，不出政策性、原则性的差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（三）办文</w:t>
      </w:r>
      <w:r>
        <w:rPr>
          <w:rFonts w:hint="eastAsia" w:ascii="仿宋" w:hAnsi="仿宋" w:eastAsia="仿宋" w:cs="仿宋"/>
          <w:sz w:val="32"/>
          <w:szCs w:val="32"/>
          <w:lang w:val="en-US" w:eastAsia="zh-CN"/>
        </w:rPr>
        <w:t>股</w:t>
      </w:r>
      <w:r>
        <w:rPr>
          <w:rFonts w:hint="eastAsia" w:ascii="仿宋" w:hAnsi="仿宋" w:eastAsia="仿宋" w:cs="仿宋"/>
          <w:sz w:val="32"/>
          <w:szCs w:val="32"/>
        </w:rPr>
        <w:t>室制发文件，要严格把好行文、政策、文字、协调、规范、校对“六关”。局领导签发文稿后，文件在两天内发出。</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（四）打印排版文件要按《公文排版标准对照表》进行规范操作，印制文件要字迹清晰、整齐、美观，符合格式要求。各办文单位要计算好所需文稿数量，节约使用纸张。</w:t>
      </w:r>
    </w:p>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保密工作制度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为保守国家秘密，维护国家安全，根据《中华人民共和国保守国家秘密法》（以下简称保密法）和《中华人民共和国保守国家秘密实施办法》及有关规定，结合我局实际，制定本制度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全体工作人员都要严格执行《保密法》，严格遵守保密纪律。在日常工作中，要模范执行保密纪律，自觉养成良好的保密习惯，对涉密的文件、材料等，不该看的不看，不该问的不问，不该说的不说，不允许摘抄的不摘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严格执行保密规定，扎实做好保密工作。办公室负责保管机要文、电的同志要切实履行职责，认真做好机要文、电的签收、登记、传递、保管、使用和清退、销毁工作。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凡涉密的各类文件、材料要妥善保管，凡年终清退的机要文件、电报等，必须按时向机要室逐份清退，需要继续留用的要办理登记手续；严格履行复印机要文件的审批手续。</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上级机要文件不得复印。</w:t>
      </w:r>
      <w:r>
        <w:rPr>
          <w:rFonts w:hint="eastAsia" w:ascii="仿宋" w:hAnsi="仿宋" w:eastAsia="仿宋" w:cs="仿宋"/>
          <w:sz w:val="32"/>
          <w:szCs w:val="32"/>
          <w:lang w:val="en-US" w:eastAsia="zh-CN"/>
        </w:rPr>
        <w:t>股</w:t>
      </w:r>
      <w:r>
        <w:rPr>
          <w:rFonts w:hint="eastAsia" w:ascii="仿宋" w:hAnsi="仿宋" w:eastAsia="仿宋" w:cs="仿宋"/>
          <w:sz w:val="32"/>
          <w:szCs w:val="32"/>
        </w:rPr>
        <w:t>室确因工作需要，必须复印的，应在办公室办理登记手续后，方可复印，复印件的保管、清退与原件相同。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对于办公室统一保管的文件，应在办公室阅读，</w:t>
      </w:r>
      <w:r>
        <w:rPr>
          <w:rFonts w:hint="eastAsia" w:ascii="仿宋" w:hAnsi="仿宋" w:eastAsia="仿宋" w:cs="仿宋"/>
          <w:sz w:val="32"/>
          <w:szCs w:val="32"/>
          <w:lang w:val="en-US" w:eastAsia="zh-CN"/>
        </w:rPr>
        <w:t>股</w:t>
      </w:r>
      <w:r>
        <w:rPr>
          <w:rFonts w:hint="eastAsia" w:ascii="仿宋" w:hAnsi="仿宋" w:eastAsia="仿宋" w:cs="仿宋"/>
          <w:sz w:val="32"/>
          <w:szCs w:val="32"/>
        </w:rPr>
        <w:t>室因工作需要，向办公室借阅机要文件、电报的，必须认真办理借阅登记手续，用后及时返还。</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对会议印发或会议期间形成的文件、材料等，都要妥善保管，会后认真清理，该存档的存档，该销毁的销毁。属内部掌握的会议内容，与会人员不得随意散播。</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所有工作人员不得擅自携带秘密文件、资料离开机关。确因工作需要携带有关文件外出者，必须经领导批准。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加强手机使用保密管理，涉密人员不得在有线电话和手机中谈论国家秘密。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工作调动时，应将个人存放的秘密文件，材料、资料及涉密的笔记本等，认真清理、返还，不得擅自带走。</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如发现秘密文件、材料丢失或被窃，应立即向部领导报告，及时追查，设法挽回影响。</w:t>
      </w: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接待群众来访工作制度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为切实做好群众来访的工作，确保机关办公秩序正常有序，维护社会和谐稳定，根据《信访条例》、《关于处理群众来信来访工作的规定》，结合我局工作实际，特制订本工作制度。</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一、接访工作流程</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在群众来访后，原则上按以下流程依次进行接待。</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（一）群众直接到业务</w:t>
      </w:r>
      <w:r>
        <w:rPr>
          <w:rFonts w:hint="eastAsia" w:ascii="仿宋" w:hAnsi="仿宋" w:eastAsia="仿宋" w:cs="仿宋"/>
          <w:sz w:val="32"/>
          <w:szCs w:val="32"/>
          <w:lang w:val="en-US" w:eastAsia="zh-CN"/>
        </w:rPr>
        <w:t>股</w:t>
      </w:r>
      <w:r>
        <w:rPr>
          <w:rFonts w:hint="eastAsia" w:ascii="仿宋" w:hAnsi="仿宋" w:eastAsia="仿宋" w:cs="仿宋"/>
          <w:sz w:val="32"/>
          <w:szCs w:val="32"/>
        </w:rPr>
        <w:t>上访的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1、群众到相关业务</w:t>
      </w:r>
      <w:r>
        <w:rPr>
          <w:rFonts w:hint="eastAsia" w:ascii="仿宋" w:hAnsi="仿宋" w:eastAsia="仿宋" w:cs="仿宋"/>
          <w:sz w:val="32"/>
          <w:szCs w:val="32"/>
          <w:lang w:val="en-US" w:eastAsia="zh-CN"/>
        </w:rPr>
        <w:t>股</w:t>
      </w:r>
      <w:r>
        <w:rPr>
          <w:rFonts w:hint="eastAsia" w:ascii="仿宋" w:hAnsi="仿宋" w:eastAsia="仿宋" w:cs="仿宋"/>
          <w:sz w:val="32"/>
          <w:szCs w:val="32"/>
        </w:rPr>
        <w:t>后，各</w:t>
      </w:r>
      <w:r>
        <w:rPr>
          <w:rFonts w:hint="eastAsia" w:ascii="仿宋" w:hAnsi="仿宋" w:eastAsia="仿宋" w:cs="仿宋"/>
          <w:sz w:val="32"/>
          <w:szCs w:val="32"/>
          <w:lang w:val="en-US" w:eastAsia="zh-CN"/>
        </w:rPr>
        <w:t>股</w:t>
      </w:r>
      <w:r>
        <w:rPr>
          <w:rFonts w:hint="eastAsia" w:ascii="仿宋" w:hAnsi="仿宋" w:eastAsia="仿宋" w:cs="仿宋"/>
          <w:sz w:val="32"/>
          <w:szCs w:val="32"/>
        </w:rPr>
        <w:t>室首先进行登记。登记后，由</w:t>
      </w:r>
      <w:r>
        <w:rPr>
          <w:rFonts w:hint="eastAsia" w:ascii="仿宋" w:hAnsi="仿宋" w:eastAsia="仿宋" w:cs="仿宋"/>
          <w:sz w:val="32"/>
          <w:szCs w:val="32"/>
          <w:lang w:val="en-US" w:eastAsia="zh-CN"/>
        </w:rPr>
        <w:t>股室</w:t>
      </w:r>
      <w:r>
        <w:rPr>
          <w:rFonts w:hint="eastAsia" w:ascii="仿宋" w:hAnsi="仿宋" w:eastAsia="仿宋" w:cs="仿宋"/>
          <w:sz w:val="32"/>
          <w:szCs w:val="32"/>
        </w:rPr>
        <w:t>负责人进行接洽，并向来访人做好答复、解释、劝回等工作。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2、群众对业务</w:t>
      </w:r>
      <w:r>
        <w:rPr>
          <w:rFonts w:hint="eastAsia" w:ascii="仿宋" w:hAnsi="仿宋" w:eastAsia="仿宋" w:cs="仿宋"/>
          <w:sz w:val="32"/>
          <w:szCs w:val="32"/>
          <w:lang w:val="en-US" w:eastAsia="zh-CN"/>
        </w:rPr>
        <w:t>股</w:t>
      </w:r>
      <w:r>
        <w:rPr>
          <w:rFonts w:hint="eastAsia" w:ascii="仿宋" w:hAnsi="仿宋" w:eastAsia="仿宋" w:cs="仿宋"/>
          <w:sz w:val="32"/>
          <w:szCs w:val="32"/>
        </w:rPr>
        <w:t>负责人的答复不满意又不愿意离开的，应第一时间向分管局领导汇报，由分管领导接待来访人，并向来访人做好答复、解释、劝回等工作。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3、分管领导根据接访情况的轻、重、缓、急，及时向局主要领导汇报接访情况。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（二）群众到局主要领导办公室上访的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1、办公室工作人员应对每一位前来人员进行接洽、询问，了解清楚该人员前来目的。如该人员是前来上访反映诉求的，工作人员应引导到信访室进行登记，并协调与其诉求相关的业务</w:t>
      </w:r>
      <w:r>
        <w:rPr>
          <w:rFonts w:hint="eastAsia" w:ascii="仿宋" w:hAnsi="仿宋" w:eastAsia="仿宋" w:cs="仿宋"/>
          <w:sz w:val="32"/>
          <w:szCs w:val="32"/>
          <w:lang w:val="en-US" w:eastAsia="zh-CN"/>
        </w:rPr>
        <w:t>股</w:t>
      </w:r>
      <w:r>
        <w:rPr>
          <w:rFonts w:hint="eastAsia" w:ascii="仿宋" w:hAnsi="仿宋" w:eastAsia="仿宋" w:cs="仿宋"/>
          <w:sz w:val="32"/>
          <w:szCs w:val="32"/>
        </w:rPr>
        <w:t>做好接访工作。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2、对群众情绪激动、言辞激烈，且不肯到信访室的，工作人员应及时向分管信访工作领导汇报，同时业务</w:t>
      </w:r>
      <w:r>
        <w:rPr>
          <w:rFonts w:hint="eastAsia" w:ascii="仿宋" w:hAnsi="仿宋" w:eastAsia="仿宋" w:cs="仿宋"/>
          <w:sz w:val="32"/>
          <w:szCs w:val="32"/>
          <w:lang w:val="en-US" w:eastAsia="zh-CN"/>
        </w:rPr>
        <w:t>股</w:t>
      </w:r>
      <w:r>
        <w:rPr>
          <w:rFonts w:hint="eastAsia" w:ascii="仿宋" w:hAnsi="仿宋" w:eastAsia="仿宋" w:cs="仿宋"/>
          <w:sz w:val="32"/>
          <w:szCs w:val="32"/>
        </w:rPr>
        <w:t>负责人要及时向该项业务工作分管领导汇报。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3、分管信访工作领导、分管业务工作领导接到汇报后，应第一时间前来共同接待来访群众。</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4、局领导根据接访情况的轻、重、缓、急，及时向局主要领导汇报接访情况。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5、如来访人没有经过登记，直接到局主要领导办公室的，办公室工作人员应及时到场，并通知相关业务</w:t>
      </w:r>
      <w:r>
        <w:rPr>
          <w:rFonts w:hint="eastAsia" w:ascii="仿宋" w:hAnsi="仿宋" w:eastAsia="仿宋" w:cs="仿宋"/>
          <w:sz w:val="32"/>
          <w:szCs w:val="32"/>
          <w:lang w:val="en-US" w:eastAsia="zh-CN"/>
        </w:rPr>
        <w:t>股</w:t>
      </w:r>
      <w:r>
        <w:rPr>
          <w:rFonts w:hint="eastAsia" w:ascii="仿宋" w:hAnsi="仿宋" w:eastAsia="仿宋" w:cs="仿宋"/>
          <w:sz w:val="32"/>
          <w:szCs w:val="32"/>
        </w:rPr>
        <w:t>室、分管业务工作领导、分管信访工作领导及时到场，共同接待来访人。</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二、接访遵循原则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接待群众来访，要遵循下列原则：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（一）热情服务。对来访群众，要热情接待，认真听取其诉求，并做好记录，耐心细致做好解释工作。要注意上访群众情绪，不激化矛盾，确保上访群众合理表达诉求。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（二）妥善处理。对于群众的合理要求，凡属能够解决的，要认真地给予解决；一时难以办到的，要讲清情况，耐心说明；要求过高或不合理的，要认真做好思想教育工作。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公平公正。对于群众的申诉，要认真复查、核实，妥善解决；处理意见要答复申诉人。对于群众的检举和控告，要认真查明情况，事实确凿的，要及时处理；处理结果要通知检举人、控告人。对利用来访诽谤诬告他人的，应对其进行严肃的批评教育，并说明诽谤诬告他人应承担的法律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依法依规。在处理来访工作中，必须做到依法依规。对已经多次讲明政策、讲清原因仍缠访、闹访的上访人员，特别是老上访户，可告知其有向上一级反映的权利，并想办法劝离。对反映县（市、区）问题的，应及时通知所属地医保局，要求派人将上访人劝回。对多次做工作仍无理取闹、妨碍工作秩序、破坏公共设备的上访人员，劝阻无效的，经请示领导同意后向公安部门报告，交由公安部门依法处理。</w:t>
      </w:r>
    </w:p>
    <w:p>
      <w:pPr>
        <w:adjustRightInd/>
        <w:snapToGrid/>
        <w:spacing w:after="0" w:line="600" w:lineRule="exact"/>
        <w:jc w:val="center"/>
        <w:rPr>
          <w:rFonts w:hint="eastAsia" w:ascii="仿宋" w:hAnsi="仿宋" w:eastAsia="仿宋" w:cs="仿宋"/>
          <w:b/>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督查督办工作制度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为进一步改进工作作风，提高工作效率，确保本局重点工作和领导交办事项的贯彻落实，特制定本制度。</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一、督查督办工作范围</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（一）上级重大决策、重要文件、工作部署，明确要求报告贯彻落实情况的事项；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（二）本局重大决策部署、重点工作任务执行情况；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（三）会议决定事项（党组会、局长办公会、局务会、业务工作协调会议定事项）；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（四）领导批示、交办事项（含局领导批示，以及在调研、检查、现场办公时要求办理事项）；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（五）其他需要督办事项。</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二、督查督办工作程序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立项登记。根据督查督办范围事项，办公室提出立项意见，经局领导审核批准后，及时在督查督办事项登记簿上登记，形成工作台帐。局领导交办但未经立项登记需督查督办的事项，应及时交由办公室立项登记。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（二）通知交办。督查督办事项立项登记后，办公室及时向承办部门（人）发出通知，提出督查督办要求、办结时限等。对文件、会议已明确承办部门（人）和办结时限的事项，不另发通知。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（三）检查催办。对转至承办部门（人）的督查督办事项，办公室要跟踪检查，督促按期办结，对规定时限内未能办结的，要及时催办。</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（四）反馈回复。承办部门（人）对列入督查督办事项办理结果按相关要求向有关领导反馈报告并报办公室备案。</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四、督查督办工作要求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（一）高度重视，明确职责。督查督办是抓工作落实的重要手段，是提高工作效率、实现有效领导的关键环节。各</w:t>
      </w:r>
      <w:r>
        <w:rPr>
          <w:rFonts w:hint="eastAsia" w:ascii="仿宋" w:hAnsi="仿宋" w:eastAsia="仿宋" w:cs="仿宋"/>
          <w:sz w:val="32"/>
          <w:szCs w:val="32"/>
          <w:lang w:val="en-US" w:eastAsia="zh-CN"/>
        </w:rPr>
        <w:t>股</w:t>
      </w:r>
      <w:r>
        <w:rPr>
          <w:rFonts w:hint="eastAsia" w:ascii="仿宋" w:hAnsi="仿宋" w:eastAsia="仿宋" w:cs="仿宋"/>
          <w:sz w:val="32"/>
          <w:szCs w:val="32"/>
        </w:rPr>
        <w:t>室主要负责人是抓好落实的第一责任人，要高度重视，对每个承办事项要亲自抓，确保督查督办事项按时保质落实到位。</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（二）提高效率，按时办结。承办部门（人）在接到局办公室督办通知后，应马上办理，迅速落实，在规定时限内将督办事项办结。因特殊情况不能按时办结的，要及时主动向相关领导说明情况。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及时通报，严格考核。办公室定期对督查督办事项完成情况进行通报，并将年度完成情况列入岗位责任考核内容，承办部门被催办仍未完成出现3次以上的，取消评先资格，承办人被催办仍未完成出现3次以上的取消年度评优资格。</w:t>
      </w:r>
    </w:p>
    <w:p>
      <w:pPr>
        <w:adjustRightInd/>
        <w:snapToGrid/>
        <w:spacing w:after="0" w:line="600" w:lineRule="exact"/>
        <w:jc w:val="center"/>
        <w:rPr>
          <w:rFonts w:hint="eastAsia" w:ascii="仿宋" w:hAnsi="仿宋" w:eastAsia="仿宋" w:cs="仿宋"/>
          <w:b/>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印章使用管理制度</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为加强局机关各类公章的使用管理，确保用印的规范、严肃和安全,特制定本制度。</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第一条　</w:t>
      </w:r>
      <w:r>
        <w:rPr>
          <w:rFonts w:hint="eastAsia" w:ascii="仿宋" w:hAnsi="仿宋" w:eastAsia="仿宋" w:cs="仿宋"/>
          <w:b/>
          <w:bCs/>
          <w:color w:val="auto"/>
          <w:sz w:val="32"/>
          <w:szCs w:val="32"/>
        </w:rPr>
        <w:t>“中共</w:t>
      </w:r>
      <w:r>
        <w:rPr>
          <w:rFonts w:hint="eastAsia" w:ascii="仿宋" w:hAnsi="仿宋" w:eastAsia="仿宋" w:cs="仿宋"/>
          <w:b/>
          <w:bCs/>
          <w:color w:val="auto"/>
          <w:sz w:val="32"/>
          <w:szCs w:val="32"/>
          <w:lang w:val="en-US" w:eastAsia="zh-CN"/>
        </w:rPr>
        <w:t>丰顺县</w:t>
      </w:r>
      <w:r>
        <w:rPr>
          <w:rFonts w:hint="eastAsia" w:ascii="仿宋" w:hAnsi="仿宋" w:eastAsia="仿宋" w:cs="仿宋"/>
          <w:b/>
          <w:bCs/>
          <w:color w:val="auto"/>
          <w:sz w:val="32"/>
          <w:szCs w:val="32"/>
        </w:rPr>
        <w:t>医疗保障局党组”公章、“</w:t>
      </w:r>
      <w:r>
        <w:rPr>
          <w:rFonts w:hint="eastAsia" w:ascii="仿宋" w:hAnsi="仿宋" w:eastAsia="仿宋" w:cs="仿宋"/>
          <w:b/>
          <w:bCs/>
          <w:color w:val="auto"/>
          <w:sz w:val="32"/>
          <w:szCs w:val="32"/>
          <w:lang w:val="en-US" w:eastAsia="zh-CN"/>
        </w:rPr>
        <w:t>丰顺县</w:t>
      </w:r>
      <w:r>
        <w:rPr>
          <w:rFonts w:hint="eastAsia" w:ascii="仿宋" w:hAnsi="仿宋" w:eastAsia="仿宋" w:cs="仿宋"/>
          <w:b/>
          <w:bCs/>
          <w:color w:val="auto"/>
          <w:sz w:val="32"/>
          <w:szCs w:val="32"/>
        </w:rPr>
        <w:t>医疗保障局”公章</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丰顺县医疗保障局党支部</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公章</w:t>
      </w:r>
      <w:r>
        <w:rPr>
          <w:rFonts w:hint="eastAsia" w:ascii="仿宋" w:hAnsi="仿宋" w:eastAsia="仿宋" w:cs="仿宋"/>
          <w:color w:val="auto"/>
          <w:sz w:val="32"/>
          <w:szCs w:val="32"/>
          <w:lang w:val="en-US" w:eastAsia="zh-CN"/>
        </w:rPr>
        <w:t>及法人印章</w:t>
      </w:r>
      <w:r>
        <w:rPr>
          <w:rFonts w:hint="eastAsia" w:ascii="仿宋" w:hAnsi="仿宋" w:eastAsia="仿宋" w:cs="仿宋"/>
          <w:color w:val="auto"/>
          <w:sz w:val="32"/>
          <w:szCs w:val="32"/>
        </w:rPr>
        <w:t>由局办公室指定专人管理。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b/>
          <w:bCs/>
          <w:color w:val="auto"/>
          <w:sz w:val="32"/>
          <w:szCs w:val="32"/>
          <w:lang w:val="en-US" w:eastAsia="zh-CN"/>
        </w:rPr>
        <w:t>丰顺县</w:t>
      </w:r>
      <w:r>
        <w:rPr>
          <w:rFonts w:hint="eastAsia" w:ascii="仿宋" w:hAnsi="仿宋" w:eastAsia="仿宋" w:cs="仿宋"/>
          <w:b/>
          <w:bCs/>
          <w:color w:val="auto"/>
          <w:sz w:val="32"/>
          <w:szCs w:val="32"/>
        </w:rPr>
        <w:t>医疗保障局机关工会委员会”</w:t>
      </w:r>
      <w:r>
        <w:rPr>
          <w:rFonts w:hint="eastAsia" w:ascii="仿宋" w:hAnsi="仿宋" w:eastAsia="仿宋" w:cs="仿宋"/>
          <w:color w:val="auto"/>
          <w:sz w:val="32"/>
          <w:szCs w:val="32"/>
        </w:rPr>
        <w:t>印章用于以局工会名义发出的公文及工会介绍信等，使用该印章由局工会负责人保管。</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室公章由各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室管理，用印实行</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长负责制，必须在规定的职责范围内用印，严禁越权、超范围用印。</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第二条　局机关发文需加盖局公章的，必须出示局领导签发同意的文件稿纸原件。其他事项需加盖局公章的，需经局分管领导同意并办理登记手续后，方可盖章。</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第三条  法人印章用于以局名义发出的需要盖章的各种公文、报表以及用于支付各种费用的银行支票等。盖法人印章一律需办理登记手续，方可予以盖章。</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第四条　外单位因评先评优、评定诚信单位、重合同守信用单位、申请医疗保险参保缴费证明核实等事项，需加盖局公章的，首先经本局有关职能</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室查实，然后呈报局领导审核同意后方可盖章。</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第五条　除经局长在盖章登记薄上签字同意外，不准在空白的纸张、表格、信函、证件等加盖局公章。</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第六条　局公章一般不得带出局外，因特殊情况需要外出用印时，须经分管局长同意后，由负责管理公章的人员亲自携带外出用印。</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第七条　局机关工作人员应自觉遵守执行本规定，如违反本规定出现问题或造成不良后果的，要追究相关人员的责任。</w:t>
      </w:r>
    </w:p>
    <w:p>
      <w:pPr>
        <w:ind w:firstLine="640" w:firstLineChars="200"/>
        <w:rPr>
          <w:rFonts w:ascii="仿宋_GB2312" w:eastAsia="仿宋_GB2312"/>
          <w:sz w:val="32"/>
          <w:szCs w:val="32"/>
        </w:rPr>
      </w:pPr>
      <w:r>
        <w:rPr>
          <w:rFonts w:hint="eastAsia" w:ascii="仿宋_GB2312" w:eastAsia="仿宋_GB2312"/>
          <w:sz w:val="32"/>
          <w:szCs w:val="32"/>
        </w:rPr>
        <w:t>附件：</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lang w:val="en-US" w:eastAsia="zh-CN"/>
        </w:rPr>
        <w:t>丰顺县</w:t>
      </w:r>
      <w:r>
        <w:rPr>
          <w:rFonts w:asciiTheme="minorEastAsia" w:hAnsiTheme="minorEastAsia" w:eastAsiaTheme="minorEastAsia"/>
          <w:sz w:val="36"/>
          <w:szCs w:val="36"/>
        </w:rPr>
        <w:t>医疗保障局</w:t>
      </w:r>
      <w:r>
        <w:rPr>
          <w:rFonts w:hint="eastAsia" w:asciiTheme="minorEastAsia" w:hAnsiTheme="minorEastAsia" w:eastAsiaTheme="minorEastAsia"/>
          <w:sz w:val="36"/>
          <w:szCs w:val="36"/>
        </w:rPr>
        <w:t>使用印章呈批表</w:t>
      </w:r>
    </w:p>
    <w:p>
      <w:pPr>
        <w:wordWrap w:val="0"/>
        <w:jc w:val="right"/>
        <w:rPr>
          <w:rFonts w:hint="eastAsia" w:ascii="仿宋" w:hAnsi="仿宋" w:eastAsia="仿宋" w:cs="仿宋"/>
          <w:sz w:val="32"/>
          <w:szCs w:val="32"/>
        </w:rPr>
      </w:pPr>
      <w:r>
        <w:rPr>
          <w:rFonts w:hint="eastAsia" w:ascii="仿宋_GB2312" w:eastAsia="仿宋_GB2312"/>
          <w:sz w:val="32"/>
          <w:szCs w:val="32"/>
        </w:rPr>
        <w:t xml:space="preserve"> </w:t>
      </w:r>
      <w:r>
        <w:rPr>
          <w:rFonts w:hint="eastAsia" w:ascii="仿宋" w:hAnsi="仿宋" w:eastAsia="仿宋" w:cs="仿宋"/>
          <w:sz w:val="32"/>
          <w:szCs w:val="32"/>
        </w:rPr>
        <w:t xml:space="preserve"> 年   月   日</w:t>
      </w:r>
    </w:p>
    <w:tbl>
      <w:tblPr>
        <w:tblStyle w:val="11"/>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1134"/>
        <w:gridCol w:w="1417"/>
        <w:gridCol w:w="1134"/>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2165" w:type="dxa"/>
            <w:vAlign w:val="center"/>
          </w:tcPr>
          <w:p>
            <w:pPr>
              <w:jc w:val="center"/>
              <w:rPr>
                <w:rFonts w:hint="eastAsia" w:ascii="仿宋" w:hAnsi="仿宋" w:eastAsia="仿宋" w:cs="仿宋"/>
                <w:sz w:val="32"/>
                <w:szCs w:val="32"/>
              </w:rPr>
            </w:pPr>
            <w:r>
              <w:rPr>
                <w:rFonts w:hint="eastAsia" w:ascii="仿宋" w:hAnsi="仿宋" w:eastAsia="仿宋" w:cs="仿宋"/>
                <w:sz w:val="32"/>
                <w:szCs w:val="32"/>
                <w:lang w:val="en-US" w:eastAsia="zh-CN"/>
              </w:rPr>
              <w:t>股</w:t>
            </w:r>
            <w:r>
              <w:rPr>
                <w:rFonts w:hint="eastAsia" w:ascii="仿宋" w:hAnsi="仿宋" w:eastAsia="仿宋" w:cs="仿宋"/>
                <w:sz w:val="32"/>
                <w:szCs w:val="32"/>
              </w:rPr>
              <w:t>室</w:t>
            </w:r>
          </w:p>
        </w:tc>
        <w:tc>
          <w:tcPr>
            <w:tcW w:w="1134" w:type="dxa"/>
            <w:vAlign w:val="center"/>
          </w:tcPr>
          <w:p>
            <w:pPr>
              <w:jc w:val="center"/>
              <w:rPr>
                <w:rFonts w:hint="eastAsia" w:ascii="仿宋" w:hAnsi="仿宋" w:eastAsia="仿宋" w:cs="仿宋"/>
                <w:sz w:val="32"/>
                <w:szCs w:val="32"/>
              </w:rPr>
            </w:pPr>
          </w:p>
        </w:tc>
        <w:tc>
          <w:tcPr>
            <w:tcW w:w="1417"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经办人</w:t>
            </w:r>
          </w:p>
        </w:tc>
        <w:tc>
          <w:tcPr>
            <w:tcW w:w="1134" w:type="dxa"/>
            <w:vAlign w:val="center"/>
          </w:tcPr>
          <w:p>
            <w:pPr>
              <w:jc w:val="center"/>
              <w:rPr>
                <w:rFonts w:hint="eastAsia" w:ascii="仿宋" w:hAnsi="仿宋" w:eastAsia="仿宋" w:cs="仿宋"/>
                <w:sz w:val="32"/>
                <w:szCs w:val="32"/>
              </w:rPr>
            </w:pPr>
          </w:p>
        </w:tc>
        <w:tc>
          <w:tcPr>
            <w:tcW w:w="1843" w:type="dxa"/>
            <w:vAlign w:val="center"/>
          </w:tcPr>
          <w:p>
            <w:pPr>
              <w:jc w:val="center"/>
              <w:rPr>
                <w:rFonts w:hint="eastAsia" w:ascii="仿宋" w:hAnsi="仿宋" w:eastAsia="仿宋" w:cs="仿宋"/>
                <w:sz w:val="32"/>
                <w:szCs w:val="32"/>
              </w:rPr>
            </w:pPr>
            <w:r>
              <w:rPr>
                <w:rFonts w:hint="eastAsia" w:ascii="仿宋" w:hAnsi="仿宋" w:eastAsia="仿宋" w:cs="仿宋"/>
                <w:sz w:val="32"/>
                <w:szCs w:val="32"/>
                <w:lang w:val="en-US" w:eastAsia="zh-CN"/>
              </w:rPr>
              <w:t>股</w:t>
            </w:r>
            <w:r>
              <w:rPr>
                <w:rFonts w:hint="eastAsia" w:ascii="仿宋" w:hAnsi="仿宋" w:eastAsia="仿宋" w:cs="仿宋"/>
                <w:sz w:val="32"/>
                <w:szCs w:val="32"/>
              </w:rPr>
              <w:t>室负责人</w:t>
            </w:r>
          </w:p>
        </w:tc>
        <w:tc>
          <w:tcPr>
            <w:tcW w:w="1701" w:type="dxa"/>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2165" w:type="dxa"/>
            <w:vMerge w:val="restart"/>
            <w:vAlign w:val="center"/>
          </w:tcPr>
          <w:p>
            <w:pPr>
              <w:jc w:val="center"/>
              <w:rPr>
                <w:rFonts w:hint="eastAsia" w:ascii="仿宋" w:hAnsi="仿宋" w:eastAsia="仿宋" w:cs="仿宋"/>
                <w:sz w:val="32"/>
                <w:szCs w:val="32"/>
              </w:rPr>
            </w:pPr>
            <w:r>
              <w:rPr>
                <w:rFonts w:hint="eastAsia" w:ascii="仿宋" w:hAnsi="仿宋" w:eastAsia="仿宋" w:cs="仿宋"/>
                <w:sz w:val="32"/>
                <w:szCs w:val="32"/>
              </w:rPr>
              <w:t>内容</w:t>
            </w:r>
          </w:p>
        </w:tc>
        <w:tc>
          <w:tcPr>
            <w:tcW w:w="7229" w:type="dxa"/>
            <w:gridSpan w:val="5"/>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2165" w:type="dxa"/>
            <w:vMerge w:val="continue"/>
            <w:vAlign w:val="center"/>
          </w:tcPr>
          <w:p>
            <w:pPr>
              <w:jc w:val="center"/>
              <w:rPr>
                <w:rFonts w:hint="eastAsia" w:ascii="仿宋" w:hAnsi="仿宋" w:eastAsia="仿宋" w:cs="仿宋"/>
                <w:sz w:val="32"/>
                <w:szCs w:val="32"/>
              </w:rPr>
            </w:pPr>
          </w:p>
        </w:tc>
        <w:tc>
          <w:tcPr>
            <w:tcW w:w="7229" w:type="dxa"/>
            <w:gridSpan w:val="5"/>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2165"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报送单位</w:t>
            </w:r>
          </w:p>
        </w:tc>
        <w:tc>
          <w:tcPr>
            <w:tcW w:w="7229" w:type="dxa"/>
            <w:gridSpan w:val="5"/>
            <w:vAlign w:val="center"/>
          </w:tcPr>
          <w:p>
            <w:pPr>
              <w:ind w:firstLine="32" w:firstLineChars="1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2165"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分管领导意见</w:t>
            </w:r>
          </w:p>
        </w:tc>
        <w:tc>
          <w:tcPr>
            <w:tcW w:w="7229" w:type="dxa"/>
            <w:gridSpan w:val="5"/>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2165"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主要领导意见</w:t>
            </w:r>
          </w:p>
        </w:tc>
        <w:tc>
          <w:tcPr>
            <w:tcW w:w="7229" w:type="dxa"/>
            <w:gridSpan w:val="5"/>
            <w:vAlign w:val="center"/>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2165"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备注</w:t>
            </w:r>
          </w:p>
        </w:tc>
        <w:tc>
          <w:tcPr>
            <w:tcW w:w="7229" w:type="dxa"/>
            <w:gridSpan w:val="5"/>
            <w:vAlign w:val="center"/>
          </w:tcPr>
          <w:p>
            <w:pPr>
              <w:jc w:val="center"/>
              <w:rPr>
                <w:rFonts w:hint="eastAsia" w:ascii="仿宋" w:hAnsi="仿宋" w:eastAsia="仿宋" w:cs="仿宋"/>
                <w:sz w:val="32"/>
                <w:szCs w:val="32"/>
              </w:rPr>
            </w:pPr>
          </w:p>
        </w:tc>
      </w:tr>
    </w:tbl>
    <w:p>
      <w:pPr>
        <w:adjustRightInd/>
        <w:snapToGrid/>
        <w:spacing w:after="0" w:line="600" w:lineRule="exact"/>
        <w:jc w:val="center"/>
        <w:rPr>
          <w:rFonts w:hint="eastAsia" w:ascii="仿宋" w:hAnsi="仿宋" w:eastAsia="仿宋" w:cs="仿宋"/>
          <w:b/>
          <w:sz w:val="32"/>
          <w:szCs w:val="32"/>
        </w:rPr>
      </w:pPr>
    </w:p>
    <w:p>
      <w:pPr>
        <w:adjustRightInd/>
        <w:snapToGrid/>
        <w:spacing w:after="0" w:line="600" w:lineRule="exact"/>
        <w:jc w:val="center"/>
        <w:rPr>
          <w:rFonts w:hint="eastAsia"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网站维护管理工作制度</w:t>
      </w:r>
    </w:p>
    <w:p>
      <w:pPr>
        <w:adjustRightInd/>
        <w:snapToGrid/>
        <w:spacing w:after="0" w:line="600" w:lineRule="exact"/>
        <w:rPr>
          <w:rFonts w:ascii="仿宋_GB2312" w:eastAsia="仿宋_GB2312"/>
          <w:sz w:val="32"/>
          <w:szCs w:val="32"/>
        </w:rPr>
      </w:pPr>
    </w:p>
    <w:p>
      <w:pPr>
        <w:adjustRightInd/>
        <w:snapToGrid/>
        <w:spacing w:after="0"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第一章  总则</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第一条 </w:t>
      </w:r>
      <w:r>
        <w:rPr>
          <w:rFonts w:hint="eastAsia" w:ascii="仿宋" w:hAnsi="仿宋" w:eastAsia="仿宋" w:cs="仿宋"/>
          <w:color w:val="auto"/>
          <w:sz w:val="32"/>
          <w:szCs w:val="32"/>
          <w:lang w:val="en-US" w:eastAsia="zh-CN"/>
        </w:rPr>
        <w:t>丰顺县</w:t>
      </w:r>
      <w:r>
        <w:rPr>
          <w:rFonts w:hint="eastAsia" w:ascii="仿宋" w:hAnsi="仿宋" w:eastAsia="仿宋" w:cs="仿宋"/>
          <w:color w:val="auto"/>
          <w:sz w:val="32"/>
          <w:szCs w:val="32"/>
        </w:rPr>
        <w:t>医疗保障局网站（以下简称：本局网站）是本局对外宣传的重要窗口，为加强对本局网站的安全及管理，促进本局网站信息发布、维护等管理工作的规范化、制度化，保障网站信息的权威性、及时性、准确性、严肃性和安全性，维护网站高效运作，使本局网站在电子政务建设中发挥应有的作用，依据国家、省、市</w:t>
      </w:r>
      <w:r>
        <w:rPr>
          <w:rFonts w:hint="eastAsia" w:ascii="仿宋" w:hAnsi="仿宋" w:eastAsia="仿宋" w:cs="仿宋"/>
          <w:color w:val="auto"/>
          <w:sz w:val="32"/>
          <w:szCs w:val="32"/>
          <w:lang w:val="en-US" w:eastAsia="zh-CN"/>
        </w:rPr>
        <w:t>和县</w:t>
      </w:r>
      <w:r>
        <w:rPr>
          <w:rFonts w:hint="eastAsia" w:ascii="仿宋" w:hAnsi="仿宋" w:eastAsia="仿宋" w:cs="仿宋"/>
          <w:color w:val="auto"/>
          <w:sz w:val="32"/>
          <w:szCs w:val="32"/>
        </w:rPr>
        <w:t>有关法律、法规及政策规定，结合我局实际，特制定本制度。</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第二条 本局网站的宗旨在于宣传医疗保障的政策法规，为社会公众提供医保的办事指引、信息服务和信访解答,促进政务公开,提高办事效率。</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第三条 本制度适用于网站信息发布、网上服务、网站管理维护以及网站安全等。</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第四条 网站管理坚持统一领导、集中管理、分级负责的原则。</w:t>
      </w:r>
    </w:p>
    <w:p>
      <w:pPr>
        <w:adjustRightInd/>
        <w:snapToGrid/>
        <w:spacing w:after="0"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第二章  组织机构与分工</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第五条 本局网站实行分级管理模式，局办公室行使网站总体管理职能，设网站管理员，负责网站信息更新发布、网上服务和监督管理。各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室为网站二级管理单位，负责与本</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室业务相关的网上服务。办公室负责网站正常运行维护及安全管理。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第六条 局办公室工作职责：</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1、负责拟公开的医疗保障信息按有关规定报上级审核批准发布；</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2、负责及时更新、发布本局网站各类信息；</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3、负责监控网站运行情况。</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第七条 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室工作职责：</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负责及时提供本</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室的相关栏目信息发布内容。</w:t>
      </w:r>
    </w:p>
    <w:p>
      <w:pPr>
        <w:adjustRightInd/>
        <w:snapToGrid/>
        <w:spacing w:after="0"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第三章 信息发布内容</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第九条 本局网站信息发布的内容以政务信息为主，按政务公开的原则，把需要向社会公布的资料或本单位最新的可公开的政务信息及时在网站上发布。具体如下：</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1、本局及各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室医保风采、新闻动态、工作信息；</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2、本局机构简介、机构设置及职能信息；</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3、国家、省、市有关医疗保障的政策法规及本局制定出台的相关文件；</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4、本局印发的带有普遍指导作用的通知公告；</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5、本局相关业务的经办规程、办事指南及所需业务表格；</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6、医疗保障工作的新思路、新举措、新经验及取得的新成就；</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7、网上咨询、信访、投诉的回复处理；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8、其他按上级要求需要公开的信息。</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第十条 本局网站的内容必须具有权威性、准确性、时效性和安全性，严禁发布不准确、不确定、不健康、不安全、不公开以及有政治、经济、形象等负面影响的信息。</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第十一条 本局网站信息的发布、转载新闻信息应当按国家、省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市和本县</w:t>
      </w:r>
      <w:r>
        <w:rPr>
          <w:rFonts w:hint="eastAsia" w:ascii="仿宋" w:hAnsi="仿宋" w:eastAsia="仿宋" w:cs="仿宋"/>
          <w:color w:val="auto"/>
          <w:sz w:val="32"/>
          <w:szCs w:val="32"/>
        </w:rPr>
        <w:t>的有关规定执行。网站的信息来源必须确保来自合法的、正规的渠道。</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第十二条 网站不得含有危害国家安全和社会稳定的不良信息，不得宣扬暴力、色情等不健康的内容。</w:t>
      </w:r>
    </w:p>
    <w:p>
      <w:pPr>
        <w:adjustRightInd/>
        <w:snapToGrid/>
        <w:spacing w:after="0"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第四章 信息发布管理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第十三条 网站信息发布是指在本局网站上对外发布的文字、数据、表格、图片及其他形式的信息资源。</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第十四条 网站信息发布坚持“先审后上、分级负责、质量兼顾，及时全面”的原则。</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第十五条 网站栏目信息的提供按各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室相应职能分工，统一交办公室审定，经上级审核批准后由网站管理员予以发布，具体分工如下：</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1、“通知公告”、“工作动态”等栏目信息由各相关</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室负责提供，办公室负责整理汇总；</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2、“政务公开”栏目的信息由办公室会同相关</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室提供；</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3、“医保知识”、“政策法规”、“办事指南”、“下载专区”栏目信息由各相应职责</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室提供。</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4、“交流互动”栏目的内容由办公室按咨询、信访、投诉内容按有关规定转相关</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室处理。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第十六条 网站信息发布更新管理流程分为：</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室负责提供需发布的内容提交分管领导审核，报办公室；</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2、办公室严格把关复审后呈报分管办公室局领导审核；</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3、分管办公室局领导审定后，由网站管理员编辑发布信息，并做好文稿归档工作。</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第十七条 网站信息发布及更新要做到及时、准确、安全：</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1、“机构简介”、“机构职能”等信息应在相关文件颁布后的20个工作日内编辑、上传、审核、发布；</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2、“通知公告”信息须在发布之日同步发布上网；</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3、“新闻动态”须在5个工作日内完成采集、上传、审核、发布；</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4、“办事指南”、 “表格下载”等信息应随业务办理流程变动而及时更新；</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5、“交流互动”咨询类须3个工作日内回复处理，涉及信访、投诉类的随信访案件回复同步更新；</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6、网站信息统一由网站管理员发布。</w:t>
      </w:r>
    </w:p>
    <w:p>
      <w:pPr>
        <w:adjustRightInd/>
        <w:snapToGrid/>
        <w:spacing w:after="0"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第五章  网站安全管理维护</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第十八条 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室依据《互联网信息服务管理办法》和《互联网电子公告服务管理规定》，提高网站安全意识，明确网络信息安全责任。</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第十九条 对本局网站栏目、内容、技术的重大变更，由各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室提出方案报局办公室并经局领导同意后实施。</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第二十条 本局网站管理维护人员要监测网站是否正常运行，如发现问题，及时与政务数据局协调处理。</w:t>
      </w:r>
    </w:p>
    <w:p>
      <w:pPr>
        <w:adjustRightInd/>
        <w:snapToGrid/>
        <w:spacing w:after="0"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第六章  考评与监督</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第二十一条 各</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室要严格按管理制度做好网站管理工作，并纳入年终</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室岗位责任考核内容。</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第二十三条 对违反管理制度，造成严重后果的，追究有关责任人责任。</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ascii="仿宋_GB2312" w:eastAsia="仿宋_GB2312"/>
          <w:sz w:val="32"/>
          <w:szCs w:val="32"/>
        </w:rPr>
      </w:pPr>
      <w:r>
        <w:rPr>
          <w:rFonts w:hint="eastAsia" w:ascii="仿宋_GB2312" w:eastAsia="仿宋_GB2312"/>
          <w:sz w:val="32"/>
          <w:szCs w:val="32"/>
        </w:rPr>
        <w:t>附件：</w:t>
      </w: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网站信息发布申请表</w:t>
      </w:r>
    </w:p>
    <w:tbl>
      <w:tblPr>
        <w:tblStyle w:val="12"/>
        <w:tblW w:w="904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1459"/>
        <w:gridCol w:w="1276"/>
        <w:gridCol w:w="1559"/>
        <w:gridCol w:w="1181"/>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57"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申请人</w:t>
            </w:r>
          </w:p>
        </w:tc>
        <w:tc>
          <w:tcPr>
            <w:tcW w:w="1459" w:type="dxa"/>
            <w:vAlign w:val="center"/>
          </w:tcPr>
          <w:p>
            <w:pPr>
              <w:adjustRightInd/>
              <w:snapToGrid/>
              <w:spacing w:after="0" w:line="600" w:lineRule="exact"/>
              <w:rPr>
                <w:rFonts w:hint="eastAsia" w:ascii="仿宋" w:hAnsi="仿宋" w:eastAsia="仿宋" w:cs="仿宋"/>
                <w:kern w:val="2"/>
                <w:sz w:val="32"/>
                <w:szCs w:val="32"/>
              </w:rPr>
            </w:pPr>
          </w:p>
        </w:tc>
        <w:tc>
          <w:tcPr>
            <w:tcW w:w="1276"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lang w:val="en-US" w:eastAsia="zh-CN"/>
              </w:rPr>
              <w:t>股</w:t>
            </w:r>
            <w:r>
              <w:rPr>
                <w:rFonts w:hint="eastAsia" w:ascii="仿宋" w:hAnsi="仿宋" w:eastAsia="仿宋" w:cs="仿宋"/>
                <w:kern w:val="2"/>
                <w:sz w:val="32"/>
                <w:szCs w:val="32"/>
              </w:rPr>
              <w:t xml:space="preserve"> 室</w:t>
            </w:r>
          </w:p>
        </w:tc>
        <w:tc>
          <w:tcPr>
            <w:tcW w:w="1559" w:type="dxa"/>
            <w:vAlign w:val="center"/>
          </w:tcPr>
          <w:p>
            <w:pPr>
              <w:adjustRightInd/>
              <w:snapToGrid/>
              <w:spacing w:after="0" w:line="600" w:lineRule="exact"/>
              <w:rPr>
                <w:rFonts w:hint="eastAsia" w:ascii="仿宋" w:hAnsi="仿宋" w:eastAsia="仿宋" w:cs="仿宋"/>
                <w:kern w:val="2"/>
                <w:sz w:val="32"/>
                <w:szCs w:val="32"/>
              </w:rPr>
            </w:pPr>
          </w:p>
        </w:tc>
        <w:tc>
          <w:tcPr>
            <w:tcW w:w="1181"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日 期</w:t>
            </w:r>
          </w:p>
        </w:tc>
        <w:tc>
          <w:tcPr>
            <w:tcW w:w="1617" w:type="dxa"/>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1957"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发布标题</w:t>
            </w:r>
          </w:p>
        </w:tc>
        <w:tc>
          <w:tcPr>
            <w:tcW w:w="7092" w:type="dxa"/>
            <w:gridSpan w:val="5"/>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57"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发布类型</w:t>
            </w:r>
          </w:p>
        </w:tc>
        <w:tc>
          <w:tcPr>
            <w:tcW w:w="7092" w:type="dxa"/>
            <w:gridSpan w:val="5"/>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发布信息□    变更信息□      撤销信息□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957"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lang w:val="en-US" w:eastAsia="zh-CN"/>
              </w:rPr>
              <w:t>股</w:t>
            </w:r>
            <w:r>
              <w:rPr>
                <w:rFonts w:hint="eastAsia" w:ascii="仿宋" w:hAnsi="仿宋" w:eastAsia="仿宋" w:cs="仿宋"/>
                <w:kern w:val="2"/>
                <w:sz w:val="32"/>
                <w:szCs w:val="32"/>
              </w:rPr>
              <w:t>室分管领导意见</w:t>
            </w:r>
          </w:p>
        </w:tc>
        <w:tc>
          <w:tcPr>
            <w:tcW w:w="7092" w:type="dxa"/>
            <w:gridSpan w:val="5"/>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57"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办公室</w:t>
            </w:r>
          </w:p>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审核意见</w:t>
            </w:r>
          </w:p>
        </w:tc>
        <w:tc>
          <w:tcPr>
            <w:tcW w:w="7092" w:type="dxa"/>
            <w:gridSpan w:val="5"/>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957"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办公室分管领导意见</w:t>
            </w:r>
          </w:p>
        </w:tc>
        <w:tc>
          <w:tcPr>
            <w:tcW w:w="7092" w:type="dxa"/>
            <w:gridSpan w:val="5"/>
            <w:vAlign w:val="center"/>
          </w:tcPr>
          <w:p>
            <w:pPr>
              <w:adjustRightInd/>
              <w:snapToGrid/>
              <w:spacing w:after="0" w:line="600" w:lineRule="exact"/>
              <w:rPr>
                <w:rFonts w:hint="eastAsia" w:ascii="仿宋" w:hAnsi="仿宋" w:eastAsia="仿宋" w:cs="仿宋"/>
                <w:kern w:val="2"/>
                <w:sz w:val="32"/>
                <w:szCs w:val="32"/>
              </w:rPr>
            </w:pPr>
          </w:p>
        </w:tc>
      </w:tr>
    </w:tbl>
    <w:p>
      <w:pPr>
        <w:adjustRightInd/>
        <w:snapToGrid/>
        <w:spacing w:after="0" w:line="600" w:lineRule="exact"/>
        <w:jc w:val="center"/>
        <w:rPr>
          <w:rFonts w:asciiTheme="majorEastAsia" w:hAnsiTheme="majorEastAsia" w:eastAsiaTheme="majorEastAsia"/>
          <w:b/>
          <w:sz w:val="44"/>
          <w:szCs w:val="44"/>
        </w:rPr>
      </w:pPr>
      <w:bookmarkStart w:id="2" w:name="_Toc486522635"/>
      <w:r>
        <w:rPr>
          <w:rFonts w:hint="eastAsia" w:asciiTheme="majorEastAsia" w:hAnsiTheme="majorEastAsia" w:eastAsiaTheme="majorEastAsia"/>
          <w:b/>
          <w:sz w:val="44"/>
          <w:szCs w:val="44"/>
        </w:rPr>
        <w:t>新闻媒体采访接待制度</w:t>
      </w:r>
      <w:bookmarkEnd w:id="2"/>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为进一步规范对新闻单位的采访接待管理，充分发挥新闻舆论的作用，塑造我局的良好形象和声誉，为和谐稳定营造良好的舆论环境，特制定本工作制度。</w:t>
      </w:r>
    </w:p>
    <w:p>
      <w:pPr>
        <w:adjustRightInd/>
        <w:snapToGrid/>
        <w:spacing w:after="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 一、对新闻采访接待工作实行统一管理。</w:t>
      </w:r>
      <w:r>
        <w:rPr>
          <w:rFonts w:hint="eastAsia" w:ascii="仿宋" w:hAnsi="仿宋" w:eastAsia="仿宋" w:cs="仿宋"/>
          <w:sz w:val="32"/>
          <w:szCs w:val="32"/>
        </w:rPr>
        <w:t>新闻单位对我局的采访由局办公室统一安排，凡有重大活动或重要会议，需新闻媒体报道采访的，由办公室统一邀请和安排。</w:t>
      </w:r>
    </w:p>
    <w:p>
      <w:pPr>
        <w:adjustRightInd/>
        <w:snapToGrid/>
        <w:spacing w:after="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二、实行登记备案制度。</w:t>
      </w:r>
      <w:r>
        <w:rPr>
          <w:rFonts w:hint="eastAsia" w:ascii="仿宋" w:hAnsi="仿宋" w:eastAsia="仿宋" w:cs="仿宋"/>
          <w:sz w:val="32"/>
          <w:szCs w:val="32"/>
        </w:rPr>
        <w:t>各新闻媒体的工作人员来访，应持记者证或单位介绍信等有效证件到局办公室联系,再由办公室根据采访内容分办到各</w:t>
      </w:r>
      <w:r>
        <w:rPr>
          <w:rFonts w:hint="eastAsia" w:ascii="仿宋" w:hAnsi="仿宋" w:eastAsia="仿宋" w:cs="仿宋"/>
          <w:sz w:val="32"/>
          <w:szCs w:val="32"/>
          <w:lang w:val="en-US" w:eastAsia="zh-CN"/>
        </w:rPr>
        <w:t>股</w:t>
      </w:r>
      <w:r>
        <w:rPr>
          <w:rFonts w:hint="eastAsia" w:ascii="仿宋" w:hAnsi="仿宋" w:eastAsia="仿宋" w:cs="仿宋"/>
          <w:sz w:val="32"/>
          <w:szCs w:val="32"/>
        </w:rPr>
        <w:t>室。相关业务</w:t>
      </w:r>
      <w:r>
        <w:rPr>
          <w:rFonts w:hint="eastAsia" w:ascii="仿宋" w:hAnsi="仿宋" w:eastAsia="仿宋" w:cs="仿宋"/>
          <w:sz w:val="32"/>
          <w:szCs w:val="32"/>
          <w:lang w:val="en-US" w:eastAsia="zh-CN"/>
        </w:rPr>
        <w:t>股</w:t>
      </w:r>
      <w:r>
        <w:rPr>
          <w:rFonts w:hint="eastAsia" w:ascii="仿宋" w:hAnsi="仿宋" w:eastAsia="仿宋" w:cs="仿宋"/>
          <w:sz w:val="32"/>
          <w:szCs w:val="32"/>
        </w:rPr>
        <w:t>室在了解采访目的和内容后提出意见并报分管领导同意后，方可接受采访。 </w:t>
      </w:r>
    </w:p>
    <w:p>
      <w:pPr>
        <w:adjustRightInd/>
        <w:snapToGrid/>
        <w:spacing w:after="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三、实行负责人承办制度。</w:t>
      </w:r>
      <w:r>
        <w:rPr>
          <w:rFonts w:hint="eastAsia" w:ascii="仿宋" w:hAnsi="仿宋" w:eastAsia="仿宋" w:cs="仿宋"/>
          <w:sz w:val="32"/>
          <w:szCs w:val="32"/>
        </w:rPr>
        <w:t>各</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室负责人要严格按照已出台的政策或上级部门要求的通稿回答问题，坚持正确的舆论导向，遵守新闻宣传纪律，认真做好接待工作。如因工作不当，带来负面影响，要追究部门负责人的责任。</w:t>
      </w:r>
    </w:p>
    <w:p>
      <w:pPr>
        <w:adjustRightInd/>
        <w:snapToGrid/>
        <w:spacing w:after="0" w:line="600" w:lineRule="exact"/>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四、接受采访形式。</w:t>
      </w:r>
      <w:r>
        <w:rPr>
          <w:rFonts w:hint="eastAsia" w:ascii="仿宋" w:hAnsi="仿宋" w:eastAsia="仿宋" w:cs="仿宋"/>
          <w:sz w:val="32"/>
          <w:szCs w:val="32"/>
        </w:rPr>
        <w:t>原则上接受新闻媒体书面采访，不接受电话采访，对现场采访的应提出预约并由媒体提供采访提纲。</w:t>
      </w:r>
    </w:p>
    <w:p>
      <w:pPr>
        <w:adjustRightInd/>
        <w:snapToGrid/>
        <w:spacing w:after="0" w:line="60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五、未经局主要领导授权，各</w:t>
      </w:r>
      <w:r>
        <w:rPr>
          <w:rFonts w:hint="eastAsia" w:ascii="仿宋" w:hAnsi="仿宋" w:eastAsia="仿宋" w:cs="仿宋"/>
          <w:b/>
          <w:bCs/>
          <w:sz w:val="32"/>
          <w:szCs w:val="32"/>
          <w:lang w:val="en-US" w:eastAsia="zh-CN"/>
        </w:rPr>
        <w:t>股</w:t>
      </w:r>
      <w:r>
        <w:rPr>
          <w:rFonts w:hint="eastAsia" w:ascii="仿宋" w:hAnsi="仿宋" w:eastAsia="仿宋" w:cs="仿宋"/>
          <w:b/>
          <w:bCs/>
          <w:sz w:val="32"/>
          <w:szCs w:val="32"/>
        </w:rPr>
        <w:t>室以及个人不得以局名义接受记者的采访。 </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ascii="仿宋_GB2312" w:eastAsia="仿宋_GB2312"/>
          <w:sz w:val="32"/>
          <w:szCs w:val="32"/>
        </w:rPr>
      </w:pPr>
      <w:r>
        <w:rPr>
          <w:rFonts w:hint="eastAsia" w:ascii="仿宋_GB2312" w:eastAsia="仿宋_GB2312"/>
          <w:sz w:val="32"/>
          <w:szCs w:val="32"/>
        </w:rPr>
        <w:t>附件：</w:t>
      </w: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新闻媒体来访接待登记备案表</w:t>
      </w:r>
    </w:p>
    <w:tbl>
      <w:tblPr>
        <w:tblStyle w:val="12"/>
        <w:tblW w:w="912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34"/>
        <w:gridCol w:w="1276"/>
        <w:gridCol w:w="3402"/>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269" w:type="dxa"/>
            <w:gridSpan w:val="2"/>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新闻媒体单位</w:t>
            </w:r>
          </w:p>
        </w:tc>
        <w:tc>
          <w:tcPr>
            <w:tcW w:w="6853" w:type="dxa"/>
            <w:gridSpan w:val="3"/>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2269" w:type="dxa"/>
            <w:gridSpan w:val="2"/>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采访栏目/部门/版面名称</w:t>
            </w:r>
          </w:p>
        </w:tc>
        <w:tc>
          <w:tcPr>
            <w:tcW w:w="6853" w:type="dxa"/>
            <w:gridSpan w:val="3"/>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gridSpan w:val="2"/>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来访人数</w:t>
            </w:r>
          </w:p>
        </w:tc>
        <w:tc>
          <w:tcPr>
            <w:tcW w:w="6853" w:type="dxa"/>
            <w:gridSpan w:val="3"/>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22" w:type="dxa"/>
            <w:gridSpan w:val="5"/>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来访登记人数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gridSpan w:val="2"/>
            <w:vAlign w:val="center"/>
          </w:tcPr>
          <w:p>
            <w:pPr>
              <w:adjustRightInd/>
              <w:snapToGrid/>
              <w:spacing w:after="0" w:line="600" w:lineRule="exact"/>
              <w:jc w:val="center"/>
              <w:rPr>
                <w:rFonts w:hint="eastAsia" w:ascii="仿宋" w:hAnsi="仿宋" w:eastAsia="仿宋" w:cs="仿宋"/>
                <w:kern w:val="2"/>
                <w:sz w:val="32"/>
                <w:szCs w:val="32"/>
              </w:rPr>
            </w:pPr>
            <w:r>
              <w:rPr>
                <w:rFonts w:hint="eastAsia" w:ascii="仿宋" w:hAnsi="仿宋" w:eastAsia="仿宋" w:cs="仿宋"/>
                <w:kern w:val="2"/>
                <w:sz w:val="32"/>
                <w:szCs w:val="32"/>
              </w:rPr>
              <w:t>姓名</w:t>
            </w:r>
          </w:p>
        </w:tc>
        <w:tc>
          <w:tcPr>
            <w:tcW w:w="1276" w:type="dxa"/>
            <w:tcBorders>
              <w:right w:val="single" w:color="auto" w:sz="4" w:space="0"/>
            </w:tcBorders>
            <w:vAlign w:val="center"/>
          </w:tcPr>
          <w:p>
            <w:pPr>
              <w:adjustRightInd/>
              <w:snapToGrid/>
              <w:spacing w:after="0" w:line="600" w:lineRule="exact"/>
              <w:jc w:val="center"/>
              <w:rPr>
                <w:rFonts w:hint="eastAsia" w:ascii="仿宋" w:hAnsi="仿宋" w:eastAsia="仿宋" w:cs="仿宋"/>
                <w:kern w:val="2"/>
                <w:sz w:val="32"/>
                <w:szCs w:val="32"/>
              </w:rPr>
            </w:pPr>
            <w:r>
              <w:rPr>
                <w:rFonts w:hint="eastAsia" w:ascii="仿宋" w:hAnsi="仿宋" w:eastAsia="仿宋" w:cs="仿宋"/>
                <w:kern w:val="2"/>
                <w:sz w:val="32"/>
                <w:szCs w:val="32"/>
              </w:rPr>
              <w:t>性别</w:t>
            </w:r>
          </w:p>
        </w:tc>
        <w:tc>
          <w:tcPr>
            <w:tcW w:w="3402" w:type="dxa"/>
            <w:tcBorders>
              <w:left w:val="single" w:color="auto" w:sz="4" w:space="0"/>
              <w:right w:val="single" w:color="auto" w:sz="4" w:space="0"/>
            </w:tcBorders>
            <w:vAlign w:val="center"/>
          </w:tcPr>
          <w:p>
            <w:pPr>
              <w:adjustRightInd/>
              <w:snapToGrid/>
              <w:spacing w:after="0" w:line="600" w:lineRule="exact"/>
              <w:jc w:val="center"/>
              <w:rPr>
                <w:rFonts w:hint="eastAsia" w:ascii="仿宋" w:hAnsi="仿宋" w:eastAsia="仿宋" w:cs="仿宋"/>
                <w:kern w:val="2"/>
                <w:sz w:val="32"/>
                <w:szCs w:val="32"/>
              </w:rPr>
            </w:pPr>
            <w:r>
              <w:rPr>
                <w:rFonts w:hint="eastAsia" w:ascii="仿宋" w:hAnsi="仿宋" w:eastAsia="仿宋" w:cs="仿宋"/>
                <w:kern w:val="2"/>
                <w:sz w:val="32"/>
                <w:szCs w:val="32"/>
              </w:rPr>
              <w:t>记者证号</w:t>
            </w:r>
          </w:p>
        </w:tc>
        <w:tc>
          <w:tcPr>
            <w:tcW w:w="2175" w:type="dxa"/>
            <w:tcBorders>
              <w:left w:val="single" w:color="auto" w:sz="4" w:space="0"/>
            </w:tcBorders>
            <w:vAlign w:val="center"/>
          </w:tcPr>
          <w:p>
            <w:pPr>
              <w:adjustRightInd/>
              <w:snapToGrid/>
              <w:spacing w:after="0" w:line="600" w:lineRule="exact"/>
              <w:jc w:val="center"/>
              <w:rPr>
                <w:rFonts w:hint="eastAsia" w:ascii="仿宋" w:hAnsi="仿宋" w:eastAsia="仿宋" w:cs="仿宋"/>
                <w:kern w:val="2"/>
                <w:sz w:val="32"/>
                <w:szCs w:val="32"/>
              </w:rPr>
            </w:pPr>
            <w:r>
              <w:rPr>
                <w:rFonts w:hint="eastAsia" w:ascii="仿宋" w:hAnsi="仿宋" w:eastAsia="仿宋" w:cs="仿宋"/>
                <w:kern w:val="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gridSpan w:val="2"/>
            <w:vAlign w:val="center"/>
          </w:tcPr>
          <w:p>
            <w:pPr>
              <w:adjustRightInd/>
              <w:snapToGrid/>
              <w:spacing w:after="0" w:line="600" w:lineRule="exact"/>
              <w:rPr>
                <w:rFonts w:hint="eastAsia" w:ascii="仿宋" w:hAnsi="仿宋" w:eastAsia="仿宋" w:cs="仿宋"/>
                <w:kern w:val="2"/>
                <w:sz w:val="32"/>
                <w:szCs w:val="32"/>
              </w:rPr>
            </w:pPr>
          </w:p>
        </w:tc>
        <w:tc>
          <w:tcPr>
            <w:tcW w:w="1276" w:type="dxa"/>
            <w:tcBorders>
              <w:righ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c>
          <w:tcPr>
            <w:tcW w:w="3402" w:type="dxa"/>
            <w:tcBorders>
              <w:left w:val="single" w:color="auto" w:sz="4" w:space="0"/>
              <w:righ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c>
          <w:tcPr>
            <w:tcW w:w="2175" w:type="dxa"/>
            <w:tcBorders>
              <w:lef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gridSpan w:val="2"/>
            <w:vAlign w:val="center"/>
          </w:tcPr>
          <w:p>
            <w:pPr>
              <w:adjustRightInd/>
              <w:snapToGrid/>
              <w:spacing w:after="0" w:line="600" w:lineRule="exact"/>
              <w:rPr>
                <w:rFonts w:hint="eastAsia" w:ascii="仿宋" w:hAnsi="仿宋" w:eastAsia="仿宋" w:cs="仿宋"/>
                <w:kern w:val="2"/>
                <w:sz w:val="32"/>
                <w:szCs w:val="32"/>
              </w:rPr>
            </w:pPr>
          </w:p>
        </w:tc>
        <w:tc>
          <w:tcPr>
            <w:tcW w:w="1276" w:type="dxa"/>
            <w:tcBorders>
              <w:righ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c>
          <w:tcPr>
            <w:tcW w:w="3402" w:type="dxa"/>
            <w:tcBorders>
              <w:left w:val="single" w:color="auto" w:sz="4" w:space="0"/>
              <w:righ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c>
          <w:tcPr>
            <w:tcW w:w="2175" w:type="dxa"/>
            <w:tcBorders>
              <w:lef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gridSpan w:val="2"/>
            <w:vAlign w:val="center"/>
          </w:tcPr>
          <w:p>
            <w:pPr>
              <w:adjustRightInd/>
              <w:snapToGrid/>
              <w:spacing w:after="0" w:line="600" w:lineRule="exact"/>
              <w:rPr>
                <w:rFonts w:hint="eastAsia" w:ascii="仿宋" w:hAnsi="仿宋" w:eastAsia="仿宋" w:cs="仿宋"/>
                <w:kern w:val="2"/>
                <w:sz w:val="32"/>
                <w:szCs w:val="32"/>
              </w:rPr>
            </w:pPr>
          </w:p>
        </w:tc>
        <w:tc>
          <w:tcPr>
            <w:tcW w:w="1276" w:type="dxa"/>
            <w:tcBorders>
              <w:righ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c>
          <w:tcPr>
            <w:tcW w:w="3402" w:type="dxa"/>
            <w:tcBorders>
              <w:left w:val="single" w:color="auto" w:sz="4" w:space="0"/>
              <w:righ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c>
          <w:tcPr>
            <w:tcW w:w="2175" w:type="dxa"/>
            <w:tcBorders>
              <w:lef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gridSpan w:val="2"/>
            <w:vAlign w:val="center"/>
          </w:tcPr>
          <w:p>
            <w:pPr>
              <w:adjustRightInd/>
              <w:snapToGrid/>
              <w:spacing w:after="0" w:line="600" w:lineRule="exact"/>
              <w:rPr>
                <w:rFonts w:hint="eastAsia" w:ascii="仿宋" w:hAnsi="仿宋" w:eastAsia="仿宋" w:cs="仿宋"/>
                <w:kern w:val="2"/>
                <w:sz w:val="32"/>
                <w:szCs w:val="32"/>
              </w:rPr>
            </w:pPr>
          </w:p>
        </w:tc>
        <w:tc>
          <w:tcPr>
            <w:tcW w:w="1276" w:type="dxa"/>
            <w:tcBorders>
              <w:righ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c>
          <w:tcPr>
            <w:tcW w:w="3402" w:type="dxa"/>
            <w:tcBorders>
              <w:left w:val="single" w:color="auto" w:sz="4" w:space="0"/>
              <w:righ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c>
          <w:tcPr>
            <w:tcW w:w="2175" w:type="dxa"/>
            <w:tcBorders>
              <w:left w:val="single" w:color="auto" w:sz="4" w:space="0"/>
            </w:tcBorders>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2269" w:type="dxa"/>
            <w:gridSpan w:val="2"/>
            <w:vAlign w:val="center"/>
          </w:tcPr>
          <w:p>
            <w:pPr>
              <w:adjustRightInd/>
              <w:snapToGrid/>
              <w:spacing w:after="0" w:line="600" w:lineRule="exact"/>
              <w:jc w:val="center"/>
              <w:rPr>
                <w:rFonts w:hint="eastAsia" w:ascii="仿宋" w:hAnsi="仿宋" w:eastAsia="仿宋" w:cs="仿宋"/>
                <w:kern w:val="2"/>
                <w:sz w:val="32"/>
                <w:szCs w:val="32"/>
              </w:rPr>
            </w:pPr>
            <w:r>
              <w:rPr>
                <w:rFonts w:hint="eastAsia" w:ascii="仿宋" w:hAnsi="仿宋" w:eastAsia="仿宋" w:cs="仿宋"/>
                <w:kern w:val="2"/>
                <w:sz w:val="32"/>
                <w:szCs w:val="32"/>
              </w:rPr>
              <w:t>来访事由</w:t>
            </w:r>
          </w:p>
        </w:tc>
        <w:tc>
          <w:tcPr>
            <w:tcW w:w="6853" w:type="dxa"/>
            <w:gridSpan w:val="3"/>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9" w:type="dxa"/>
            <w:gridSpan w:val="2"/>
            <w:vAlign w:val="center"/>
          </w:tcPr>
          <w:p>
            <w:pPr>
              <w:adjustRightInd/>
              <w:snapToGrid/>
              <w:spacing w:after="0" w:line="600" w:lineRule="exact"/>
              <w:jc w:val="center"/>
              <w:rPr>
                <w:rFonts w:hint="eastAsia" w:ascii="仿宋" w:hAnsi="仿宋" w:eastAsia="仿宋" w:cs="仿宋"/>
                <w:kern w:val="2"/>
                <w:sz w:val="32"/>
                <w:szCs w:val="32"/>
              </w:rPr>
            </w:pPr>
            <w:r>
              <w:rPr>
                <w:rFonts w:hint="eastAsia" w:ascii="仿宋" w:hAnsi="仿宋" w:eastAsia="仿宋" w:cs="仿宋"/>
                <w:kern w:val="2"/>
                <w:sz w:val="32"/>
                <w:szCs w:val="32"/>
              </w:rPr>
              <w:t>被采访部门</w:t>
            </w:r>
          </w:p>
        </w:tc>
        <w:tc>
          <w:tcPr>
            <w:tcW w:w="6853" w:type="dxa"/>
            <w:gridSpan w:val="3"/>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2269" w:type="dxa"/>
            <w:gridSpan w:val="2"/>
            <w:vAlign w:val="center"/>
          </w:tcPr>
          <w:p>
            <w:pPr>
              <w:adjustRightInd/>
              <w:snapToGrid/>
              <w:spacing w:after="0" w:line="600" w:lineRule="exact"/>
              <w:jc w:val="center"/>
              <w:rPr>
                <w:rFonts w:hint="eastAsia" w:ascii="仿宋" w:hAnsi="仿宋" w:eastAsia="仿宋" w:cs="仿宋"/>
                <w:kern w:val="2"/>
                <w:sz w:val="32"/>
                <w:szCs w:val="32"/>
              </w:rPr>
            </w:pPr>
            <w:r>
              <w:rPr>
                <w:rFonts w:hint="eastAsia" w:ascii="仿宋" w:hAnsi="仿宋" w:eastAsia="仿宋" w:cs="仿宋"/>
                <w:kern w:val="2"/>
                <w:sz w:val="32"/>
                <w:szCs w:val="32"/>
              </w:rPr>
              <w:t>其他需要说明情况</w:t>
            </w:r>
          </w:p>
        </w:tc>
        <w:tc>
          <w:tcPr>
            <w:tcW w:w="6853" w:type="dxa"/>
            <w:gridSpan w:val="3"/>
            <w:vAlign w:val="center"/>
          </w:tcPr>
          <w:p>
            <w:pPr>
              <w:adjustRightInd/>
              <w:snapToGrid/>
              <w:spacing w:after="0" w:line="600" w:lineRule="exact"/>
              <w:rPr>
                <w:rFonts w:hint="eastAsia" w:ascii="仿宋" w:hAnsi="仿宋" w:eastAsia="仿宋" w:cs="仿宋"/>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22" w:type="dxa"/>
            <w:gridSpan w:val="5"/>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填表人：                     填表时间：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2235" w:type="dxa"/>
            <w:vAlign w:val="center"/>
          </w:tcPr>
          <w:p>
            <w:pPr>
              <w:adjustRightInd/>
              <w:snapToGrid/>
              <w:spacing w:after="0" w:line="600" w:lineRule="exact"/>
              <w:rPr>
                <w:rFonts w:hint="eastAsia" w:ascii="仿宋" w:hAnsi="仿宋" w:eastAsia="仿宋" w:cs="仿宋"/>
                <w:kern w:val="2"/>
                <w:sz w:val="32"/>
                <w:szCs w:val="32"/>
              </w:rPr>
            </w:pPr>
            <w:r>
              <w:rPr>
                <w:rFonts w:hint="eastAsia" w:ascii="仿宋" w:hAnsi="仿宋" w:eastAsia="仿宋" w:cs="仿宋"/>
                <w:kern w:val="2"/>
                <w:sz w:val="32"/>
                <w:szCs w:val="32"/>
              </w:rPr>
              <w:t>局领导意见：</w:t>
            </w:r>
          </w:p>
        </w:tc>
        <w:tc>
          <w:tcPr>
            <w:tcW w:w="6887" w:type="dxa"/>
            <w:gridSpan w:val="4"/>
            <w:vAlign w:val="center"/>
          </w:tcPr>
          <w:p>
            <w:pPr>
              <w:adjustRightInd/>
              <w:snapToGrid/>
              <w:spacing w:after="0" w:line="600" w:lineRule="exact"/>
              <w:rPr>
                <w:rFonts w:hint="eastAsia" w:ascii="仿宋" w:hAnsi="仿宋" w:eastAsia="仿宋" w:cs="仿宋"/>
                <w:kern w:val="2"/>
                <w:sz w:val="32"/>
                <w:szCs w:val="32"/>
              </w:rPr>
            </w:pPr>
          </w:p>
        </w:tc>
      </w:tr>
    </w:tbl>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备注：1、本表为内部资料不对外传。</w:t>
      </w:r>
    </w:p>
    <w:p>
      <w:pPr>
        <w:adjustRightInd/>
        <w:snapToGrid/>
        <w:spacing w:after="0" w:line="600" w:lineRule="exact"/>
        <w:ind w:firstLine="960" w:firstLineChars="300"/>
        <w:rPr>
          <w:rFonts w:ascii="仿宋_GB2312" w:eastAsia="仿宋_GB2312"/>
          <w:sz w:val="32"/>
          <w:szCs w:val="32"/>
        </w:rPr>
      </w:pPr>
      <w:r>
        <w:rPr>
          <w:rFonts w:hint="eastAsia" w:ascii="仿宋" w:hAnsi="仿宋" w:eastAsia="仿宋" w:cs="仿宋"/>
          <w:sz w:val="32"/>
          <w:szCs w:val="32"/>
        </w:rPr>
        <w:t>2、本表以“一访一表”原则登记。</w:t>
      </w: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编外聘用人员管理办法</w:t>
      </w:r>
    </w:p>
    <w:p>
      <w:pPr>
        <w:adjustRightInd/>
        <w:snapToGrid/>
        <w:spacing w:after="0" w:line="600" w:lineRule="exact"/>
        <w:rPr>
          <w:rFonts w:ascii="仿宋_GB2312" w:eastAsia="仿宋_GB2312"/>
          <w:sz w:val="32"/>
          <w:szCs w:val="32"/>
        </w:rPr>
      </w:pPr>
      <w:r>
        <w:rPr>
          <w:rFonts w:hint="eastAsia" w:eastAsia="仿宋_GB2312"/>
          <w:sz w:val="32"/>
          <w:szCs w:val="32"/>
        </w:rPr>
        <w:t> </w:t>
      </w:r>
    </w:p>
    <w:p>
      <w:pPr>
        <w:adjustRightInd/>
        <w:snapToGrid/>
        <w:spacing w:after="0"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第一章  总 则</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第一条  为规范编外聘用工作人员（以下简称“聘用人员”）的管理，保障聘用人员的合法权益，根据《中华人民共和国劳动法》、《中华人民共和国劳动合同法》等相关法律法规，结合本局实际，制定本办法。</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第二条  本办法所称聘用人员是指不纳入本局编制管理，以合同形式聘用，在本局从事综合管理、专业技术、技能性或辅助性工作的人员。</w:t>
      </w:r>
    </w:p>
    <w:p>
      <w:pPr>
        <w:adjustRightInd/>
        <w:snapToGrid/>
        <w:spacing w:after="0"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第二章  聘用原则及条件</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第三条 坚持统筹兼顾的原则。合理配备现有人员，尽量减少聘用人员，尽力降低行政成本，确需聘用时，应向急需的重点工作岗位倾斜。</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第四条 坚持竞争择优的原则。凡需聘请聘用人员，必须按程序进行，严格把关，面向社会公开招聘。</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第五条  聘用人员必须在法定劳动年龄内，身体健康，具有履行相应岗位职责的能力。</w:t>
      </w:r>
    </w:p>
    <w:p>
      <w:pPr>
        <w:adjustRightInd/>
        <w:snapToGrid/>
        <w:spacing w:after="0" w:line="600" w:lineRule="exact"/>
        <w:ind w:firstLine="643" w:firstLineChars="200"/>
        <w:jc w:val="both"/>
        <w:rPr>
          <w:rFonts w:hint="eastAsia" w:ascii="仿宋" w:hAnsi="仿宋" w:eastAsia="仿宋" w:cs="仿宋"/>
          <w:b/>
          <w:sz w:val="32"/>
          <w:szCs w:val="32"/>
        </w:rPr>
      </w:pPr>
      <w:r>
        <w:rPr>
          <w:rFonts w:hint="eastAsia" w:ascii="仿宋" w:hAnsi="仿宋" w:eastAsia="仿宋" w:cs="仿宋"/>
          <w:b/>
          <w:sz w:val="32"/>
          <w:szCs w:val="32"/>
        </w:rPr>
        <w:t>第三章  聘用程序</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第六条 办公室应综合各</w:t>
      </w:r>
      <w:r>
        <w:rPr>
          <w:rFonts w:hint="eastAsia" w:ascii="仿宋" w:hAnsi="仿宋" w:eastAsia="仿宋" w:cs="仿宋"/>
          <w:sz w:val="32"/>
          <w:szCs w:val="32"/>
          <w:lang w:val="en-US" w:eastAsia="zh-CN"/>
        </w:rPr>
        <w:t>股</w:t>
      </w:r>
      <w:r>
        <w:rPr>
          <w:rFonts w:hint="eastAsia" w:ascii="仿宋" w:hAnsi="仿宋" w:eastAsia="仿宋" w:cs="仿宋"/>
          <w:sz w:val="32"/>
          <w:szCs w:val="32"/>
        </w:rPr>
        <w:t>室用人需求，提前向局长办公会提出申请，申请内容包括：聘用理由、人数、条件、专业要求、所聘岗位等。局长办公会在30日内研究，作出是否准予聘用的决定。经局长办公会同意聘用的，按相关规定公开招聘。</w:t>
      </w:r>
    </w:p>
    <w:p>
      <w:pPr>
        <w:adjustRightInd/>
        <w:snapToGrid/>
        <w:spacing w:after="0" w:line="600" w:lineRule="exact"/>
        <w:ind w:firstLine="643" w:firstLineChars="200"/>
        <w:jc w:val="both"/>
        <w:rPr>
          <w:rFonts w:hint="eastAsia" w:ascii="仿宋" w:hAnsi="仿宋" w:eastAsia="仿宋" w:cs="仿宋"/>
          <w:b/>
          <w:sz w:val="32"/>
          <w:szCs w:val="32"/>
        </w:rPr>
      </w:pPr>
      <w:r>
        <w:rPr>
          <w:rFonts w:hint="eastAsia" w:ascii="仿宋" w:hAnsi="仿宋" w:eastAsia="仿宋" w:cs="仿宋"/>
          <w:b/>
          <w:sz w:val="32"/>
          <w:szCs w:val="32"/>
        </w:rPr>
        <w:t>第四章  聘期管理</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第七条  聘用人员的聘用合同原则上一年一签，特殊专业技术人员因工作需要，也可两年一签或三年一签，试用期为2个月。在合同期内，临聘人员应严格遵守国家法律法规和本局的各项规章制度，如在社会上发生一切经济、民事纠纷，均由其本人承担。</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第八条  对聘用人员实行考核制度。考核坚持客观、公正、注重实绩的原则，考核内容主要包括品德、能力、业绩、纪律等方面，重点考核工作业绩。</w:t>
      </w:r>
      <w:r>
        <w:rPr>
          <w:rFonts w:hint="eastAsia" w:ascii="仿宋" w:hAnsi="仿宋" w:eastAsia="仿宋" w:cs="仿宋"/>
          <w:color w:val="auto"/>
          <w:sz w:val="32"/>
          <w:szCs w:val="32"/>
        </w:rPr>
        <w:t>考核工作由本局办公室会同用人</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室组织实施，考核时间</w:t>
      </w:r>
      <w:r>
        <w:rPr>
          <w:rFonts w:hint="eastAsia" w:ascii="仿宋" w:hAnsi="仿宋" w:eastAsia="仿宋" w:cs="仿宋"/>
          <w:sz w:val="32"/>
          <w:szCs w:val="32"/>
        </w:rPr>
        <w:t>、程序与本局在编人员同步进行，实行局领导考核与群众民主评议相结合、平时考核与年度考核相结合。</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第九条  评先评优。临聘人员年终评优的程序、比例和奖励标准参照本局在编人员的考核办法进行，同时鼓励和支持聘用人员参加有关评先评优活动。年度考核结果分为优秀、合格、基本合格和不合格四个等次。年度考核结果作为对临聘人员续聘、解聘的主要依据，对年度考核结果为优秀的临聘人员给予适当奖励；对年度考核结果为基本合格的临聘人员，当年给予批评教育，如连续两年被确定为基本合格等次的，直接确定为不合格等次，给予解聘及解除劳动合同。</w:t>
      </w:r>
    </w:p>
    <w:p>
      <w:pPr>
        <w:adjustRightInd/>
        <w:snapToGrid/>
        <w:spacing w:after="0" w:line="600" w:lineRule="exact"/>
        <w:ind w:firstLine="643" w:firstLineChars="200"/>
        <w:jc w:val="both"/>
        <w:rPr>
          <w:rFonts w:hint="eastAsia" w:ascii="仿宋" w:hAnsi="仿宋" w:eastAsia="仿宋" w:cs="仿宋"/>
          <w:b/>
          <w:sz w:val="32"/>
          <w:szCs w:val="32"/>
        </w:rPr>
      </w:pPr>
      <w:r>
        <w:rPr>
          <w:rFonts w:hint="eastAsia" w:ascii="仿宋" w:hAnsi="仿宋" w:eastAsia="仿宋" w:cs="仿宋"/>
          <w:b/>
          <w:sz w:val="32"/>
          <w:szCs w:val="32"/>
        </w:rPr>
        <w:t>第五章  工资待遇</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第十条  聘用人员享受有关工资福利待遇，其工资福利待遇按照国家有关政策规定和本局实际情况确定，主要由以下几个部分组成。</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（一）工资基本构成：基础工资，技能工资，绩效工资，工龄工资。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（二）补助：四大节补助、交通补助、住房维修补贴。</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（三）社会保险及住房公积金：本局按规定为聘用人员办理养老保险、医疗保险、失业保险、工伤保险和生育保险及住房公积金，按国家政策规定的比例承担。</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（四）休假：聘用人员带薪年休假、病假、丧假、产假、婚假、事假和探亲假等参照在编工作人员按照本局有关规定执行。</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（五）慰问：参照本局《机关工会慰问制度》执行。</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第十一条  聘用人员患职业病、因工负伤或因工死亡的，按国家、省、市文件规定执行。</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第十二条  聘用人员的工资待遇标准可根据本地经济发展和物价水平等情况作适时调整。</w:t>
      </w:r>
    </w:p>
    <w:p>
      <w:pPr>
        <w:adjustRightInd/>
        <w:snapToGrid/>
        <w:spacing w:after="0" w:line="600" w:lineRule="exact"/>
        <w:ind w:firstLine="643" w:firstLineChars="200"/>
        <w:jc w:val="both"/>
        <w:rPr>
          <w:rFonts w:hint="eastAsia" w:ascii="仿宋" w:hAnsi="仿宋" w:eastAsia="仿宋" w:cs="仿宋"/>
          <w:b/>
          <w:sz w:val="32"/>
          <w:szCs w:val="32"/>
        </w:rPr>
      </w:pPr>
      <w:r>
        <w:rPr>
          <w:rFonts w:hint="eastAsia" w:ascii="仿宋" w:hAnsi="仿宋" w:eastAsia="仿宋" w:cs="仿宋"/>
          <w:b/>
          <w:sz w:val="32"/>
          <w:szCs w:val="32"/>
        </w:rPr>
        <w:t>第六章  争议处理</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第十三条 劳动合同签订后，不得擅自变更合同。确需变更时，双方应协商一致，并按原签订程序变更合同。未达成一致意见的，原合同继续有效。</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第十四条  聘用人员有下列情形之一的，本局可以单方面解除劳动合同，造成严重后果的按有关法律规定追究个人责任。</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（一）在试用期内被证明不符合工作岗位要求的；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（二）严重违反纪律或本局规章制度的；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（三）连续旷工超过5个工作日或者1年内累计旷工超过10个工作日的；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（四）聘用人员同时与其它用人单位建立劳动关系的；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（五）聘用人员被追究刑事责任或违反《治安管理处罚条例》，给本局造成不良影响的；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（六）违反工作规定或者操作规程，发生责任事故，或者失职、渎职，造成严重后果的。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第十五条  聘用人员有下列情形之一的，本局提前30日以书面形式通知当事人或者额外支付当事人1个月工资后，可以单方面解除劳动合同。</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（一）患病或者非因工负伤，在规定的医疗期满后不能从事原工作或不能从事由本局另行安排的工作岗位的；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（二）不能胜任工作，经过培训或调整岗位后仍不能胜任工作的；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（三）本局机构改革发生机构变动的；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（四）其它签订合同所依据的客观情况发生重大变化，致使合同无法履行的。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第十六条  聘用人员有下列情形之一的，本局不得解除劳动合同。</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（一）患病或负伤在规定的医疗期内的；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（二）女性临聘人员在孕期、产期、哺乳期内的；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（三）在本局工作期间患职业病或者因工负伤，并被确认丧失或部分丧失劳动能力的；</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（四）法律法规和有关规章规定的其它情形。</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第十七条  聘用人员需单方面解除劳动合同的，应提前30日提出书面申请。</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第十八条 聘期内发生劳动争议，聘用人员可向本局申请调解，也可依据规定于1年内向市劳动人事争议仲裁委员会申请调解或仲裁。对仲裁裁决不服的，可向人民法院提出诉讼。</w:t>
      </w:r>
    </w:p>
    <w:p>
      <w:pPr>
        <w:adjustRightInd/>
        <w:snapToGrid/>
        <w:spacing w:after="0" w:line="600" w:lineRule="exact"/>
        <w:ind w:firstLine="643" w:firstLineChars="200"/>
        <w:jc w:val="both"/>
        <w:rPr>
          <w:rFonts w:hint="eastAsia" w:ascii="仿宋" w:hAnsi="仿宋" w:eastAsia="仿宋" w:cs="仿宋"/>
          <w:b/>
          <w:sz w:val="32"/>
          <w:szCs w:val="32"/>
        </w:rPr>
      </w:pPr>
      <w:r>
        <w:rPr>
          <w:rFonts w:hint="eastAsia" w:ascii="仿宋" w:hAnsi="仿宋" w:eastAsia="仿宋" w:cs="仿宋"/>
          <w:b/>
          <w:sz w:val="32"/>
          <w:szCs w:val="32"/>
        </w:rPr>
        <w:t>第七章  附 则</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第十九条  本办法未涉及而国家已有明确规定的，按国家规定执行。如上级另有规定，按其规定执行。</w:t>
      </w: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工作人员考勤、请销假及外出报告管理制度</w:t>
      </w:r>
    </w:p>
    <w:p>
      <w:pPr>
        <w:adjustRightInd/>
        <w:snapToGrid/>
        <w:spacing w:after="0" w:line="600" w:lineRule="exact"/>
        <w:rPr>
          <w:rFonts w:ascii="仿宋_GB2312" w:eastAsia="仿宋_GB2312"/>
          <w:sz w:val="32"/>
          <w:szCs w:val="32"/>
        </w:rPr>
      </w:pPr>
    </w:p>
    <w:p>
      <w:pPr>
        <w:adjustRightInd/>
        <w:snapToGrid/>
        <w:spacing w:after="0"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第一章 总则</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第一条  为了严肃工作纪律，加强机关管理，提高服务效能，根据《中华人民共和国公务员法》、《广东省公务员考核办法（试行）》等有关规定，特制定本制度。</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第二条  本制度是指对工作人员出勤、缺勤情况的考核与管理，具体包括上下班、会议、学习、培训、集体活动等方面的迟到、早退、离岗、旷工、请销假、外出报告等。</w:t>
      </w:r>
    </w:p>
    <w:p>
      <w:pPr>
        <w:adjustRightInd/>
        <w:snapToGrid/>
        <w:spacing w:after="0" w:line="600" w:lineRule="exact"/>
        <w:ind w:firstLine="643" w:firstLineChars="200"/>
        <w:jc w:val="both"/>
        <w:rPr>
          <w:rFonts w:hint="eastAsia" w:ascii="仿宋" w:hAnsi="仿宋" w:eastAsia="仿宋" w:cs="仿宋"/>
          <w:b/>
          <w:color w:val="auto"/>
          <w:sz w:val="32"/>
          <w:szCs w:val="32"/>
        </w:rPr>
      </w:pPr>
      <w:r>
        <w:rPr>
          <w:rFonts w:hint="eastAsia" w:ascii="仿宋" w:hAnsi="仿宋" w:eastAsia="仿宋" w:cs="仿宋"/>
          <w:b/>
          <w:color w:val="auto"/>
          <w:sz w:val="32"/>
          <w:szCs w:val="32"/>
        </w:rPr>
        <w:t>第二章  日常考勤要求</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第三条  工作人员必须严格遵守上下班作息时间，不得迟到早退、擅自离岗。因病因事不能按时上班的，必须按程序履行请假手续。</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第四条  凡召开全局会议、集中学习和统一组织的集体活动，干部职工必须按通知时间准时参加，因公务在外出差或特殊情况请假者，必须提前向主持会议或活动的局领导请假批准。</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第五条  实行离岗告知制度。工作时间内不得无故擅自离开岗位，如需离岗半小时以上的，须向</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室负责人请假并说明理由，经同意方可离岗。确因事全部外出时，要在办公室门上留言，说明去向，留下联系电话并保持通信畅通。</w:t>
      </w:r>
    </w:p>
    <w:p>
      <w:pPr>
        <w:adjustRightInd/>
        <w:snapToGrid/>
        <w:spacing w:after="0" w:line="600" w:lineRule="exact"/>
        <w:ind w:firstLine="643" w:firstLineChars="200"/>
        <w:jc w:val="both"/>
        <w:rPr>
          <w:rFonts w:hint="eastAsia" w:ascii="仿宋" w:hAnsi="仿宋" w:eastAsia="仿宋" w:cs="仿宋"/>
          <w:b/>
          <w:color w:val="auto"/>
          <w:sz w:val="32"/>
          <w:szCs w:val="32"/>
        </w:rPr>
      </w:pPr>
      <w:r>
        <w:rPr>
          <w:rFonts w:hint="eastAsia" w:ascii="仿宋" w:hAnsi="仿宋" w:eastAsia="仿宋" w:cs="仿宋"/>
          <w:b/>
          <w:color w:val="auto"/>
          <w:sz w:val="32"/>
          <w:szCs w:val="32"/>
        </w:rPr>
        <w:t>第三章 请休假程序及批准权限</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第六条  工作人员的请休假类型主要包括年休假、探亲假、婚丧假、产假、病假、事假等。带薪年休假按市政府《关于转发&lt;关于进一步落实机关事业单位工作人员带薪年休假制度的意见&gt;的通知》执行，由本人填写《</w:t>
      </w:r>
      <w:r>
        <w:rPr>
          <w:rFonts w:hint="eastAsia" w:ascii="仿宋" w:hAnsi="仿宋" w:eastAsia="仿宋" w:cs="仿宋"/>
          <w:color w:val="auto"/>
          <w:sz w:val="32"/>
          <w:szCs w:val="32"/>
          <w:lang w:val="en-US" w:eastAsia="zh-CN"/>
        </w:rPr>
        <w:t>丰顺县</w:t>
      </w:r>
      <w:r>
        <w:rPr>
          <w:rFonts w:hint="eastAsia" w:ascii="仿宋" w:hAnsi="仿宋" w:eastAsia="仿宋" w:cs="仿宋"/>
          <w:color w:val="auto"/>
          <w:sz w:val="32"/>
          <w:szCs w:val="32"/>
        </w:rPr>
        <w:t>机关事业单位工作人员带薪年休假申请表》（附件1），经</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室同意，办公室审批，局领导批准后执行；其他各类型请休假均须本人填写《请假申请单》（附件2），按规定程序办理请销假审批手续。</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室负责人以下干部职工请休假1天以内的，由</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室负责人审批；2至3天的，由分管领导审批；4天（含4天）以上的由主要领导审批。</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室负责人请休假，由分管领导审核签字后，主要领导审批。</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（三）分管领导请休假，由局主要领导审批。</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第七条  凡连续请病假10天以上的，必须有县级及以上医院证明。</w:t>
      </w:r>
    </w:p>
    <w:p>
      <w:pPr>
        <w:adjustRightInd/>
        <w:snapToGrid/>
        <w:spacing w:after="0" w:line="600" w:lineRule="exact"/>
        <w:ind w:firstLine="643" w:firstLineChars="200"/>
        <w:jc w:val="both"/>
        <w:rPr>
          <w:rFonts w:hint="eastAsia" w:ascii="仿宋" w:hAnsi="仿宋" w:eastAsia="仿宋" w:cs="仿宋"/>
          <w:b/>
          <w:color w:val="auto"/>
          <w:sz w:val="32"/>
          <w:szCs w:val="32"/>
        </w:rPr>
      </w:pPr>
      <w:r>
        <w:rPr>
          <w:rFonts w:hint="eastAsia" w:ascii="仿宋" w:hAnsi="仿宋" w:eastAsia="仿宋" w:cs="仿宋"/>
          <w:b/>
          <w:color w:val="auto"/>
          <w:sz w:val="32"/>
          <w:szCs w:val="32"/>
        </w:rPr>
        <w:t>第四章  外出报告要求</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第八条  工作人员外出离开本</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含节假日），时间3天以内的，应事先口头请示报告，经同意后方可外出；时间在3天以上的，应提前请示报告，经同意后方可外出；出国（境）的，应严格按照有关规定办理审批手续，并提前5天以上请示报告，经同意后方可外出。</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第九条  外出离开本</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的，局主要领导由办公室负责填写《领导干部外出请假审批表》，指定临时负责领导，按规定向</w:t>
      </w:r>
      <w:r>
        <w:rPr>
          <w:rFonts w:hint="eastAsia" w:ascii="仿宋" w:hAnsi="仿宋" w:eastAsia="仿宋" w:cs="仿宋"/>
          <w:color w:val="auto"/>
          <w:sz w:val="32"/>
          <w:szCs w:val="32"/>
          <w:lang w:val="en-US" w:eastAsia="zh-CN"/>
        </w:rPr>
        <w:t>县委县政府</w:t>
      </w:r>
      <w:r>
        <w:rPr>
          <w:rFonts w:hint="eastAsia" w:ascii="仿宋" w:hAnsi="仿宋" w:eastAsia="仿宋" w:cs="仿宋"/>
          <w:color w:val="auto"/>
          <w:sz w:val="32"/>
          <w:szCs w:val="32"/>
        </w:rPr>
        <w:t>报告；局领导班子成员、</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室负责人应向局主要领导请示报告；副</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长（副主任）应向</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室负责人、局分管领导请示报告；其他工作人员应向</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室负责人请示报告。</w:t>
      </w:r>
    </w:p>
    <w:p>
      <w:pPr>
        <w:adjustRightInd/>
        <w:snapToGrid/>
        <w:spacing w:after="0" w:line="600" w:lineRule="exact"/>
        <w:ind w:firstLine="643" w:firstLineChars="200"/>
        <w:jc w:val="both"/>
        <w:rPr>
          <w:rFonts w:hint="eastAsia" w:ascii="仿宋" w:hAnsi="仿宋" w:eastAsia="仿宋" w:cs="仿宋"/>
          <w:b/>
          <w:color w:val="auto"/>
          <w:sz w:val="32"/>
          <w:szCs w:val="32"/>
        </w:rPr>
      </w:pPr>
      <w:r>
        <w:rPr>
          <w:rFonts w:hint="eastAsia" w:ascii="仿宋" w:hAnsi="仿宋" w:eastAsia="仿宋" w:cs="仿宋"/>
          <w:b/>
          <w:color w:val="auto"/>
          <w:sz w:val="32"/>
          <w:szCs w:val="32"/>
        </w:rPr>
        <w:t>第五章  纪律要求</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第十条  全体工作人员要严格执行考勤、请销假及外出报告制度，做到政令畅通、令行禁止。要按时上下班，不得无故迟到、早退。负责考勤的人员要认真履行职责，实事求是进行考勤登记，如发现弄虚作假行为，将严肃处理。</w:t>
      </w:r>
    </w:p>
    <w:p>
      <w:pPr>
        <w:adjustRightInd/>
        <w:snapToGrid/>
        <w:spacing w:after="0" w:line="600" w:lineRule="exact"/>
        <w:ind w:firstLine="640" w:firstLineChars="200"/>
        <w:rPr>
          <w:rFonts w:ascii="仿宋_GB2312" w:eastAsia="仿宋_GB2312"/>
          <w:sz w:val="32"/>
          <w:szCs w:val="32"/>
        </w:rPr>
      </w:pPr>
      <w:bookmarkStart w:id="3" w:name="_Toc486522652"/>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hint="eastAsia" w:ascii="仿宋_GB2312" w:eastAsia="仿宋_GB2312"/>
          <w:sz w:val="32"/>
          <w:szCs w:val="32"/>
        </w:rPr>
      </w:pPr>
    </w:p>
    <w:p>
      <w:pPr>
        <w:adjustRightInd/>
        <w:snapToGrid/>
        <w:spacing w:after="0" w:line="600" w:lineRule="exact"/>
        <w:ind w:firstLine="640" w:firstLineChars="200"/>
        <w:rPr>
          <w:rFonts w:ascii="仿宋_GB2312" w:eastAsia="仿宋_GB2312"/>
          <w:sz w:val="32"/>
          <w:szCs w:val="32"/>
        </w:rPr>
      </w:pPr>
      <w:r>
        <w:rPr>
          <w:rFonts w:hint="eastAsia" w:ascii="仿宋_GB2312" w:eastAsia="仿宋_GB2312"/>
          <w:sz w:val="32"/>
          <w:szCs w:val="32"/>
        </w:rPr>
        <w:t>附件1：</w:t>
      </w:r>
    </w:p>
    <w:p>
      <w:pPr>
        <w:adjustRightInd/>
        <w:snapToGrid/>
        <w:spacing w:after="0" w:line="60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lang w:val="en-US" w:eastAsia="zh-CN"/>
        </w:rPr>
        <w:t>丰顺县</w:t>
      </w:r>
      <w:r>
        <w:rPr>
          <w:rFonts w:hint="eastAsia" w:asciiTheme="majorEastAsia" w:hAnsiTheme="majorEastAsia" w:eastAsiaTheme="majorEastAsia"/>
          <w:sz w:val="36"/>
          <w:szCs w:val="36"/>
        </w:rPr>
        <w:t>机关事业单位工作人员带薪年休假申请表</w:t>
      </w:r>
    </w:p>
    <w:p>
      <w:pPr>
        <w:adjustRightInd/>
        <w:snapToGrid/>
        <w:spacing w:after="0" w:line="600" w:lineRule="exact"/>
        <w:rPr>
          <w:rFonts w:ascii="仿宋_GB2312" w:eastAsia="仿宋_GB2312"/>
          <w:sz w:val="32"/>
          <w:szCs w:val="32"/>
        </w:rPr>
      </w:pPr>
    </w:p>
    <w:tbl>
      <w:tblPr>
        <w:tblStyle w:val="11"/>
        <w:tblW w:w="8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351"/>
        <w:gridCol w:w="1078"/>
        <w:gridCol w:w="1980"/>
        <w:gridCol w:w="1620"/>
        <w:gridCol w:w="156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gridSpan w:val="3"/>
            <w:vAlign w:val="center"/>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姓  名</w:t>
            </w:r>
          </w:p>
        </w:tc>
        <w:tc>
          <w:tcPr>
            <w:tcW w:w="1980" w:type="dxa"/>
          </w:tcPr>
          <w:p>
            <w:pPr>
              <w:adjustRightInd/>
              <w:snapToGrid/>
              <w:spacing w:after="0" w:line="600" w:lineRule="exact"/>
              <w:rPr>
                <w:rFonts w:hint="eastAsia" w:ascii="仿宋" w:hAnsi="仿宋" w:eastAsia="仿宋" w:cs="仿宋"/>
                <w:sz w:val="32"/>
                <w:szCs w:val="32"/>
              </w:rPr>
            </w:pPr>
          </w:p>
        </w:tc>
        <w:tc>
          <w:tcPr>
            <w:tcW w:w="3182" w:type="dxa"/>
            <w:gridSpan w:val="2"/>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今年应休年休假天数</w:t>
            </w:r>
          </w:p>
        </w:tc>
        <w:tc>
          <w:tcPr>
            <w:tcW w:w="973" w:type="dxa"/>
          </w:tcPr>
          <w:p>
            <w:pPr>
              <w:adjustRightInd/>
              <w:snapToGrid/>
              <w:spacing w:after="0" w:line="60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gridSpan w:val="3"/>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参加工作时间</w:t>
            </w:r>
          </w:p>
        </w:tc>
        <w:tc>
          <w:tcPr>
            <w:tcW w:w="1980" w:type="dxa"/>
          </w:tcPr>
          <w:p>
            <w:pPr>
              <w:adjustRightInd/>
              <w:snapToGrid/>
              <w:spacing w:after="0" w:line="600" w:lineRule="exact"/>
              <w:rPr>
                <w:rFonts w:hint="eastAsia" w:ascii="仿宋" w:hAnsi="仿宋" w:eastAsia="仿宋" w:cs="仿宋"/>
                <w:sz w:val="32"/>
                <w:szCs w:val="32"/>
              </w:rPr>
            </w:pPr>
          </w:p>
        </w:tc>
        <w:tc>
          <w:tcPr>
            <w:tcW w:w="3182" w:type="dxa"/>
            <w:gridSpan w:val="2"/>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今年已休年休假天数</w:t>
            </w:r>
          </w:p>
        </w:tc>
        <w:tc>
          <w:tcPr>
            <w:tcW w:w="973" w:type="dxa"/>
          </w:tcPr>
          <w:p>
            <w:pPr>
              <w:adjustRightInd/>
              <w:snapToGrid/>
              <w:spacing w:after="0" w:line="60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gridSpan w:val="3"/>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工作年限</w:t>
            </w:r>
          </w:p>
        </w:tc>
        <w:tc>
          <w:tcPr>
            <w:tcW w:w="1980" w:type="dxa"/>
          </w:tcPr>
          <w:p>
            <w:pPr>
              <w:adjustRightInd/>
              <w:snapToGrid/>
              <w:spacing w:after="0" w:line="600" w:lineRule="exact"/>
              <w:rPr>
                <w:rFonts w:hint="eastAsia" w:ascii="仿宋" w:hAnsi="仿宋" w:eastAsia="仿宋" w:cs="仿宋"/>
                <w:sz w:val="32"/>
                <w:szCs w:val="32"/>
              </w:rPr>
            </w:pPr>
          </w:p>
        </w:tc>
        <w:tc>
          <w:tcPr>
            <w:tcW w:w="3182" w:type="dxa"/>
            <w:gridSpan w:val="2"/>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今年事假天数</w:t>
            </w:r>
          </w:p>
        </w:tc>
        <w:tc>
          <w:tcPr>
            <w:tcW w:w="973" w:type="dxa"/>
          </w:tcPr>
          <w:p>
            <w:pPr>
              <w:adjustRightInd/>
              <w:snapToGrid/>
              <w:spacing w:after="0" w:line="60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9" w:type="dxa"/>
            <w:vMerge w:val="restart"/>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今年</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休假</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记录</w:t>
            </w:r>
          </w:p>
        </w:tc>
        <w:tc>
          <w:tcPr>
            <w:tcW w:w="5029" w:type="dxa"/>
            <w:gridSpan w:val="4"/>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年  月  日至    年  月  日</w:t>
            </w:r>
          </w:p>
        </w:tc>
        <w:tc>
          <w:tcPr>
            <w:tcW w:w="1562" w:type="dxa"/>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休假天数</w:t>
            </w:r>
          </w:p>
        </w:tc>
        <w:tc>
          <w:tcPr>
            <w:tcW w:w="973" w:type="dxa"/>
          </w:tcPr>
          <w:p>
            <w:pPr>
              <w:adjustRightInd/>
              <w:snapToGrid/>
              <w:spacing w:after="0" w:line="60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9" w:type="dxa"/>
            <w:vMerge w:val="continue"/>
          </w:tcPr>
          <w:p>
            <w:pPr>
              <w:adjustRightInd/>
              <w:snapToGrid/>
              <w:spacing w:after="0" w:line="600" w:lineRule="exact"/>
              <w:rPr>
                <w:rFonts w:hint="eastAsia" w:ascii="仿宋" w:hAnsi="仿宋" w:eastAsia="仿宋" w:cs="仿宋"/>
                <w:sz w:val="32"/>
                <w:szCs w:val="32"/>
              </w:rPr>
            </w:pPr>
          </w:p>
        </w:tc>
        <w:tc>
          <w:tcPr>
            <w:tcW w:w="5029" w:type="dxa"/>
            <w:gridSpan w:val="4"/>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年  月  日至    年  月  日</w:t>
            </w:r>
          </w:p>
        </w:tc>
        <w:tc>
          <w:tcPr>
            <w:tcW w:w="1562" w:type="dxa"/>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休假天数</w:t>
            </w:r>
          </w:p>
        </w:tc>
        <w:tc>
          <w:tcPr>
            <w:tcW w:w="973" w:type="dxa"/>
          </w:tcPr>
          <w:p>
            <w:pPr>
              <w:adjustRightInd/>
              <w:snapToGrid/>
              <w:spacing w:after="0" w:line="60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9" w:type="dxa"/>
            <w:vMerge w:val="continue"/>
          </w:tcPr>
          <w:p>
            <w:pPr>
              <w:adjustRightInd/>
              <w:snapToGrid/>
              <w:spacing w:after="0" w:line="600" w:lineRule="exact"/>
              <w:rPr>
                <w:rFonts w:hint="eastAsia" w:ascii="仿宋" w:hAnsi="仿宋" w:eastAsia="仿宋" w:cs="仿宋"/>
                <w:sz w:val="32"/>
                <w:szCs w:val="32"/>
              </w:rPr>
            </w:pPr>
          </w:p>
        </w:tc>
        <w:tc>
          <w:tcPr>
            <w:tcW w:w="5029" w:type="dxa"/>
            <w:gridSpan w:val="4"/>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年  月  日至    年  月  日</w:t>
            </w:r>
          </w:p>
        </w:tc>
        <w:tc>
          <w:tcPr>
            <w:tcW w:w="1562" w:type="dxa"/>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休假天数</w:t>
            </w:r>
          </w:p>
        </w:tc>
        <w:tc>
          <w:tcPr>
            <w:tcW w:w="973" w:type="dxa"/>
          </w:tcPr>
          <w:p>
            <w:pPr>
              <w:adjustRightInd/>
              <w:snapToGrid/>
              <w:spacing w:after="0" w:line="60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9" w:type="dxa"/>
            <w:vMerge w:val="continue"/>
          </w:tcPr>
          <w:p>
            <w:pPr>
              <w:adjustRightInd/>
              <w:snapToGrid/>
              <w:spacing w:after="0" w:line="600" w:lineRule="exact"/>
              <w:rPr>
                <w:rFonts w:hint="eastAsia" w:ascii="仿宋" w:hAnsi="仿宋" w:eastAsia="仿宋" w:cs="仿宋"/>
                <w:sz w:val="32"/>
                <w:szCs w:val="32"/>
              </w:rPr>
            </w:pPr>
          </w:p>
        </w:tc>
        <w:tc>
          <w:tcPr>
            <w:tcW w:w="5029" w:type="dxa"/>
            <w:gridSpan w:val="4"/>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年  月  日至    年  月  日</w:t>
            </w:r>
          </w:p>
        </w:tc>
        <w:tc>
          <w:tcPr>
            <w:tcW w:w="1562" w:type="dxa"/>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休假天数</w:t>
            </w:r>
          </w:p>
        </w:tc>
        <w:tc>
          <w:tcPr>
            <w:tcW w:w="973" w:type="dxa"/>
          </w:tcPr>
          <w:p>
            <w:pPr>
              <w:adjustRightInd/>
              <w:snapToGrid/>
              <w:spacing w:after="0" w:line="60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9" w:type="dxa"/>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拟休</w:t>
            </w:r>
          </w:p>
        </w:tc>
        <w:tc>
          <w:tcPr>
            <w:tcW w:w="5029" w:type="dxa"/>
            <w:gridSpan w:val="4"/>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年  月  日至    年  月  日</w:t>
            </w:r>
          </w:p>
        </w:tc>
        <w:tc>
          <w:tcPr>
            <w:tcW w:w="1562" w:type="dxa"/>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休假天数</w:t>
            </w:r>
          </w:p>
        </w:tc>
        <w:tc>
          <w:tcPr>
            <w:tcW w:w="973" w:type="dxa"/>
          </w:tcPr>
          <w:p>
            <w:pPr>
              <w:adjustRightInd/>
              <w:snapToGrid/>
              <w:spacing w:after="0" w:line="600" w:lineRule="exact"/>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jc w:val="center"/>
        </w:trPr>
        <w:tc>
          <w:tcPr>
            <w:tcW w:w="1370" w:type="dxa"/>
            <w:gridSpan w:val="2"/>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lang w:val="en-US" w:eastAsia="zh-CN"/>
              </w:rPr>
              <w:t>股</w:t>
            </w:r>
            <w:r>
              <w:rPr>
                <w:rFonts w:hint="eastAsia" w:ascii="仿宋" w:hAnsi="仿宋" w:eastAsia="仿宋" w:cs="仿宋"/>
                <w:sz w:val="32"/>
                <w:szCs w:val="32"/>
              </w:rPr>
              <w:t xml:space="preserve">  室</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意  见</w:t>
            </w:r>
          </w:p>
        </w:tc>
        <w:tc>
          <w:tcPr>
            <w:tcW w:w="7213" w:type="dxa"/>
            <w:gridSpan w:val="5"/>
          </w:tcPr>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负责人签名：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8" w:hRule="atLeast"/>
          <w:jc w:val="center"/>
        </w:trPr>
        <w:tc>
          <w:tcPr>
            <w:tcW w:w="1370" w:type="dxa"/>
            <w:gridSpan w:val="2"/>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单位人</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事部门</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意  见</w:t>
            </w:r>
          </w:p>
        </w:tc>
        <w:tc>
          <w:tcPr>
            <w:tcW w:w="7213" w:type="dxa"/>
            <w:gridSpan w:val="5"/>
          </w:tcPr>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负责人签名：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1370" w:type="dxa"/>
            <w:gridSpan w:val="2"/>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单  位</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意  见</w:t>
            </w:r>
          </w:p>
        </w:tc>
        <w:tc>
          <w:tcPr>
            <w:tcW w:w="7213" w:type="dxa"/>
            <w:gridSpan w:val="5"/>
          </w:tcPr>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负责人签名：          20  年  月  日</w:t>
            </w:r>
          </w:p>
        </w:tc>
      </w:tr>
    </w:tbl>
    <w:p>
      <w:pPr>
        <w:adjustRightInd/>
        <w:snapToGrid/>
        <w:spacing w:after="0" w:line="600" w:lineRule="exact"/>
        <w:ind w:firstLine="640" w:firstLineChars="200"/>
        <w:rPr>
          <w:rFonts w:ascii="仿宋_GB2312" w:eastAsia="仿宋_GB2312"/>
          <w:sz w:val="32"/>
          <w:szCs w:val="32"/>
        </w:rPr>
      </w:pPr>
      <w:r>
        <w:rPr>
          <w:rFonts w:hint="eastAsia" w:ascii="仿宋" w:hAnsi="仿宋" w:eastAsia="仿宋" w:cs="仿宋"/>
          <w:sz w:val="32"/>
          <w:szCs w:val="32"/>
        </w:rPr>
        <w:t>填报日期：    年  月  日        申请人签名：</w:t>
      </w:r>
    </w:p>
    <w:tbl>
      <w:tblPr>
        <w:tblStyle w:val="11"/>
        <w:tblW w:w="8880" w:type="dxa"/>
        <w:tblInd w:w="93" w:type="dxa"/>
        <w:tblLayout w:type="fixed"/>
        <w:tblCellMar>
          <w:top w:w="0" w:type="dxa"/>
          <w:left w:w="108" w:type="dxa"/>
          <w:bottom w:w="0" w:type="dxa"/>
          <w:right w:w="108" w:type="dxa"/>
        </w:tblCellMar>
      </w:tblPr>
      <w:tblGrid>
        <w:gridCol w:w="1957"/>
        <w:gridCol w:w="1929"/>
        <w:gridCol w:w="2252"/>
        <w:gridCol w:w="2742"/>
      </w:tblGrid>
      <w:tr>
        <w:tblPrEx>
          <w:tblLayout w:type="fixed"/>
          <w:tblCellMar>
            <w:top w:w="0" w:type="dxa"/>
            <w:left w:w="108" w:type="dxa"/>
            <w:bottom w:w="0" w:type="dxa"/>
            <w:right w:w="108" w:type="dxa"/>
          </w:tblCellMar>
        </w:tblPrEx>
        <w:trPr>
          <w:trHeight w:val="985" w:hRule="atLeast"/>
        </w:trPr>
        <w:tc>
          <w:tcPr>
            <w:tcW w:w="8880" w:type="dxa"/>
            <w:gridSpan w:val="4"/>
            <w:tcBorders>
              <w:top w:val="nil"/>
              <w:left w:val="nil"/>
              <w:bottom w:val="nil"/>
              <w:right w:val="nil"/>
            </w:tcBorders>
            <w:shd w:val="clear" w:color="auto" w:fill="auto"/>
            <w:vAlign w:val="center"/>
          </w:tcPr>
          <w:p>
            <w:pPr>
              <w:adjustRightInd/>
              <w:snapToGrid/>
              <w:spacing w:after="0" w:line="600" w:lineRule="exact"/>
              <w:rPr>
                <w:rFonts w:ascii="仿宋" w:hAnsi="仿宋" w:eastAsia="仿宋"/>
                <w:sz w:val="32"/>
                <w:szCs w:val="32"/>
              </w:rPr>
            </w:pPr>
            <w:r>
              <w:rPr>
                <w:rFonts w:hint="eastAsia" w:ascii="仿宋" w:hAnsi="仿宋" w:eastAsia="仿宋"/>
                <w:sz w:val="32"/>
                <w:szCs w:val="32"/>
              </w:rPr>
              <w:t>附件2：</w:t>
            </w: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工作人员请假申请单</w:t>
            </w:r>
          </w:p>
          <w:p>
            <w:pPr>
              <w:adjustRightInd/>
              <w:snapToGrid/>
              <w:spacing w:after="0" w:line="600" w:lineRule="exact"/>
              <w:rPr>
                <w:rFonts w:ascii="仿宋_GB2312" w:eastAsia="仿宋_GB2312"/>
                <w:sz w:val="32"/>
                <w:szCs w:val="32"/>
              </w:rPr>
            </w:pPr>
          </w:p>
        </w:tc>
      </w:tr>
      <w:tr>
        <w:tblPrEx>
          <w:tblLayout w:type="fixed"/>
          <w:tblCellMar>
            <w:top w:w="0" w:type="dxa"/>
            <w:left w:w="108" w:type="dxa"/>
            <w:bottom w:w="0" w:type="dxa"/>
            <w:right w:w="108" w:type="dxa"/>
          </w:tblCellMar>
        </w:tblPrEx>
        <w:trPr>
          <w:trHeight w:val="1106" w:hRule="atLeast"/>
        </w:trPr>
        <w:tc>
          <w:tcPr>
            <w:tcW w:w="195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姓  名</w:t>
            </w:r>
          </w:p>
        </w:tc>
        <w:tc>
          <w:tcPr>
            <w:tcW w:w="192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w:t>
            </w:r>
          </w:p>
        </w:tc>
        <w:tc>
          <w:tcPr>
            <w:tcW w:w="225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股</w:t>
            </w:r>
            <w:r>
              <w:rPr>
                <w:rFonts w:hint="eastAsia" w:ascii="仿宋" w:hAnsi="仿宋" w:eastAsia="仿宋" w:cs="仿宋"/>
                <w:sz w:val="32"/>
                <w:szCs w:val="32"/>
              </w:rPr>
              <w:t>室</w:t>
            </w:r>
          </w:p>
        </w:tc>
        <w:tc>
          <w:tcPr>
            <w:tcW w:w="274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w:t>
            </w:r>
          </w:p>
        </w:tc>
      </w:tr>
      <w:tr>
        <w:tblPrEx>
          <w:tblLayout w:type="fixed"/>
          <w:tblCellMar>
            <w:top w:w="0" w:type="dxa"/>
            <w:left w:w="108" w:type="dxa"/>
            <w:bottom w:w="0" w:type="dxa"/>
            <w:right w:w="108" w:type="dxa"/>
          </w:tblCellMar>
        </w:tblPrEx>
        <w:trPr>
          <w:trHeight w:val="1106" w:hRule="atLeast"/>
        </w:trPr>
        <w:tc>
          <w:tcPr>
            <w:tcW w:w="1957"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请假天数</w:t>
            </w:r>
          </w:p>
        </w:tc>
        <w:tc>
          <w:tcPr>
            <w:tcW w:w="1929" w:type="dxa"/>
            <w:tcBorders>
              <w:top w:val="nil"/>
              <w:left w:val="nil"/>
              <w:bottom w:val="single" w:color="auto" w:sz="4" w:space="0"/>
              <w:right w:val="single" w:color="auto" w:sz="4" w:space="0"/>
            </w:tcBorders>
            <w:shd w:val="clear" w:color="auto" w:fill="auto"/>
            <w:noWrap/>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w:t>
            </w:r>
          </w:p>
        </w:tc>
        <w:tc>
          <w:tcPr>
            <w:tcW w:w="2252" w:type="dxa"/>
            <w:tcBorders>
              <w:top w:val="nil"/>
              <w:left w:val="nil"/>
              <w:bottom w:val="single" w:color="auto" w:sz="4" w:space="0"/>
              <w:right w:val="single" w:color="auto" w:sz="4" w:space="0"/>
            </w:tcBorders>
            <w:shd w:val="clear" w:color="auto" w:fill="auto"/>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休假起止日期</w:t>
            </w:r>
          </w:p>
        </w:tc>
        <w:tc>
          <w:tcPr>
            <w:tcW w:w="2742" w:type="dxa"/>
            <w:tcBorders>
              <w:top w:val="nil"/>
              <w:left w:val="nil"/>
              <w:bottom w:val="single" w:color="auto" w:sz="4" w:space="0"/>
              <w:right w:val="single" w:color="auto" w:sz="4" w:space="0"/>
            </w:tcBorders>
            <w:shd w:val="clear" w:color="auto" w:fill="auto"/>
            <w:noWrap/>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w:t>
            </w:r>
          </w:p>
        </w:tc>
      </w:tr>
      <w:tr>
        <w:tblPrEx>
          <w:tblLayout w:type="fixed"/>
          <w:tblCellMar>
            <w:top w:w="0" w:type="dxa"/>
            <w:left w:w="108" w:type="dxa"/>
            <w:bottom w:w="0" w:type="dxa"/>
            <w:right w:w="108" w:type="dxa"/>
          </w:tblCellMar>
        </w:tblPrEx>
        <w:trPr>
          <w:trHeight w:val="1106" w:hRule="atLeast"/>
        </w:trPr>
        <w:tc>
          <w:tcPr>
            <w:tcW w:w="1957"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请假类别</w:t>
            </w:r>
          </w:p>
        </w:tc>
        <w:tc>
          <w:tcPr>
            <w:tcW w:w="1929" w:type="dxa"/>
            <w:tcBorders>
              <w:top w:val="nil"/>
              <w:left w:val="nil"/>
              <w:bottom w:val="single" w:color="auto" w:sz="4" w:space="0"/>
              <w:right w:val="single" w:color="auto" w:sz="4" w:space="0"/>
            </w:tcBorders>
            <w:shd w:val="clear" w:color="auto" w:fill="auto"/>
            <w:noWrap/>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w:t>
            </w:r>
          </w:p>
        </w:tc>
        <w:tc>
          <w:tcPr>
            <w:tcW w:w="2252" w:type="dxa"/>
            <w:tcBorders>
              <w:top w:val="nil"/>
              <w:left w:val="nil"/>
              <w:bottom w:val="single" w:color="auto" w:sz="4" w:space="0"/>
              <w:right w:val="single" w:color="auto" w:sz="4" w:space="0"/>
            </w:tcBorders>
            <w:shd w:val="clear" w:color="auto" w:fill="auto"/>
            <w:noWrap/>
            <w:vAlign w:val="center"/>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请假事由</w:t>
            </w:r>
          </w:p>
        </w:tc>
        <w:tc>
          <w:tcPr>
            <w:tcW w:w="2742" w:type="dxa"/>
            <w:tcBorders>
              <w:top w:val="nil"/>
              <w:left w:val="nil"/>
              <w:bottom w:val="single" w:color="auto" w:sz="4" w:space="0"/>
              <w:right w:val="single" w:color="auto" w:sz="4" w:space="0"/>
            </w:tcBorders>
            <w:shd w:val="clear" w:color="auto" w:fill="auto"/>
            <w:noWrap/>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w:t>
            </w:r>
          </w:p>
        </w:tc>
      </w:tr>
      <w:tr>
        <w:tblPrEx>
          <w:tblLayout w:type="fixed"/>
          <w:tblCellMar>
            <w:top w:w="0" w:type="dxa"/>
            <w:left w:w="108" w:type="dxa"/>
            <w:bottom w:w="0" w:type="dxa"/>
            <w:right w:w="108" w:type="dxa"/>
          </w:tblCellMar>
        </w:tblPrEx>
        <w:trPr>
          <w:trHeight w:val="1106" w:hRule="atLeast"/>
        </w:trPr>
        <w:tc>
          <w:tcPr>
            <w:tcW w:w="1957"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股</w:t>
            </w:r>
            <w:r>
              <w:rPr>
                <w:rFonts w:hint="eastAsia" w:ascii="仿宋" w:hAnsi="仿宋" w:eastAsia="仿宋" w:cs="仿宋"/>
                <w:sz w:val="32"/>
                <w:szCs w:val="32"/>
              </w:rPr>
              <w:t>室意见</w:t>
            </w:r>
          </w:p>
        </w:tc>
        <w:tc>
          <w:tcPr>
            <w:tcW w:w="6923" w:type="dxa"/>
            <w:gridSpan w:val="3"/>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w:t>
            </w:r>
          </w:p>
        </w:tc>
      </w:tr>
      <w:tr>
        <w:tblPrEx>
          <w:tblLayout w:type="fixed"/>
          <w:tblCellMar>
            <w:top w:w="0" w:type="dxa"/>
            <w:left w:w="108" w:type="dxa"/>
            <w:bottom w:w="0" w:type="dxa"/>
            <w:right w:w="108" w:type="dxa"/>
          </w:tblCellMar>
        </w:tblPrEx>
        <w:trPr>
          <w:trHeight w:val="1106" w:hRule="atLeast"/>
        </w:trPr>
        <w:tc>
          <w:tcPr>
            <w:tcW w:w="1957"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分管领导</w:t>
            </w:r>
          </w:p>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意 见</w:t>
            </w:r>
          </w:p>
        </w:tc>
        <w:tc>
          <w:tcPr>
            <w:tcW w:w="6923" w:type="dxa"/>
            <w:gridSpan w:val="3"/>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w:t>
            </w:r>
          </w:p>
        </w:tc>
      </w:tr>
      <w:tr>
        <w:tblPrEx>
          <w:tblLayout w:type="fixed"/>
          <w:tblCellMar>
            <w:top w:w="0" w:type="dxa"/>
            <w:left w:w="108" w:type="dxa"/>
            <w:bottom w:w="0" w:type="dxa"/>
            <w:right w:w="108" w:type="dxa"/>
          </w:tblCellMar>
        </w:tblPrEx>
        <w:trPr>
          <w:trHeight w:val="1106" w:hRule="atLeast"/>
        </w:trPr>
        <w:tc>
          <w:tcPr>
            <w:tcW w:w="1957"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line="600" w:lineRule="exact"/>
              <w:jc w:val="center"/>
              <w:rPr>
                <w:rFonts w:hint="eastAsia" w:ascii="仿宋" w:hAnsi="仿宋" w:eastAsia="仿宋" w:cs="仿宋"/>
                <w:sz w:val="32"/>
                <w:szCs w:val="32"/>
              </w:rPr>
            </w:pPr>
            <w:r>
              <w:rPr>
                <w:rFonts w:hint="eastAsia" w:ascii="仿宋" w:hAnsi="仿宋" w:eastAsia="仿宋" w:cs="仿宋"/>
                <w:sz w:val="32"/>
                <w:szCs w:val="32"/>
              </w:rPr>
              <w:t>局领导意见</w:t>
            </w:r>
          </w:p>
        </w:tc>
        <w:tc>
          <w:tcPr>
            <w:tcW w:w="6923" w:type="dxa"/>
            <w:gridSpan w:val="3"/>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w:t>
            </w:r>
          </w:p>
        </w:tc>
      </w:tr>
      <w:tr>
        <w:tblPrEx>
          <w:tblLayout w:type="fixed"/>
          <w:tblCellMar>
            <w:top w:w="0" w:type="dxa"/>
            <w:left w:w="108" w:type="dxa"/>
            <w:bottom w:w="0" w:type="dxa"/>
            <w:right w:w="108" w:type="dxa"/>
          </w:tblCellMar>
        </w:tblPrEx>
        <w:trPr>
          <w:trHeight w:val="1122" w:hRule="atLeast"/>
        </w:trPr>
        <w:tc>
          <w:tcPr>
            <w:tcW w:w="8880" w:type="dxa"/>
            <w:gridSpan w:val="4"/>
            <w:tcBorders>
              <w:top w:val="single" w:color="auto" w:sz="4" w:space="0"/>
              <w:left w:val="nil"/>
              <w:bottom w:val="nil"/>
              <w:right w:val="nil"/>
            </w:tcBorders>
            <w:shd w:val="clear" w:color="auto" w:fill="auto"/>
            <w:vAlign w:val="center"/>
          </w:tcPr>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注：1、请假类别为探亲假、婚丧假、产假、病假、事假等；</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2、请假申请单经审批后由办公室登记保存。</w:t>
            </w:r>
          </w:p>
        </w:tc>
      </w:tr>
      <w:bookmarkEnd w:id="3"/>
    </w:tbl>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hint="eastAsia" w:asciiTheme="majorEastAsia" w:hAnsiTheme="majorEastAsia" w:eastAsiaTheme="majorEastAsia"/>
          <w:color w:val="000000" w:themeColor="text1"/>
          <w:sz w:val="44"/>
          <w:szCs w:val="44"/>
        </w:rPr>
      </w:pPr>
    </w:p>
    <w:p>
      <w:pPr>
        <w:adjustRightInd/>
        <w:snapToGrid/>
        <w:spacing w:after="0" w:line="600" w:lineRule="exact"/>
        <w:jc w:val="center"/>
        <w:rPr>
          <w:rFonts w:asciiTheme="majorEastAsia" w:hAnsiTheme="majorEastAsia" w:eastAsiaTheme="majorEastAsia"/>
          <w:b/>
          <w:bCs/>
          <w:color w:val="000000" w:themeColor="text1"/>
          <w:sz w:val="44"/>
          <w:szCs w:val="44"/>
        </w:rPr>
      </w:pPr>
      <w:r>
        <w:rPr>
          <w:rFonts w:hint="eastAsia" w:asciiTheme="majorEastAsia" w:hAnsiTheme="majorEastAsia" w:eastAsiaTheme="majorEastAsia"/>
          <w:b/>
          <w:bCs/>
          <w:color w:val="000000" w:themeColor="text1"/>
          <w:sz w:val="44"/>
          <w:szCs w:val="44"/>
        </w:rPr>
        <w:t>财务管理制度</w:t>
      </w:r>
    </w:p>
    <w:p>
      <w:pPr>
        <w:adjustRightInd/>
        <w:snapToGrid/>
        <w:spacing w:after="0" w:line="600" w:lineRule="exact"/>
        <w:ind w:firstLine="640" w:firstLineChars="200"/>
        <w:rPr>
          <w:rFonts w:ascii="仿宋_GB2312" w:eastAsia="仿宋_GB2312"/>
          <w:color w:val="000000" w:themeColor="text1"/>
          <w:sz w:val="32"/>
          <w:szCs w:val="32"/>
        </w:rPr>
      </w:pPr>
    </w:p>
    <w:p>
      <w:pPr>
        <w:adjustRightInd/>
        <w:snapToGrid/>
        <w:spacing w:after="0"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第一章  总 则</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第一条  为加强本局内部财务管理，规范财务收支行为，促进我</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医疗保障事业健康发展，根据《中华人民共和国预算法》《中华人民共和国会计法》《中华人民共和国采购法》《行政单位财务规则》等法规及有关财务管理规定，结合工作实际，制定本制度。</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第二条  本制度适用于局机关经费财务收支管理和</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医疗保障财务数据的管理工作。</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第三条  局财务管理的主要任务是合理编制局机关的部门预算，并对预算执行去进行控制、管理和监督检查；加强资产管理，防止国有资产流失；严格财务收支，严控财务支出，加强资金监管；审核经办机构的基金财务报表，按要求报送基金财务数据；完成上级和局领导交办的其他各项工作。</w:t>
      </w:r>
    </w:p>
    <w:p>
      <w:pPr>
        <w:adjustRightInd/>
        <w:snapToGrid/>
        <w:spacing w:after="0"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第二章  财务管理职责和权限</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第四条  财务管理按照统一领导、归口管理的原则，在局党组的领导下，局办公室承担财务管理相关的工作，包括机关预决算、机关财务、资产管理、审核汇总医保基金报表等职能。主要职责：</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（一）负责局机关财务管理，包括编制本局部门经费预决算、审核支付、资金运行管理、固定资产管理等财务管理工作。</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（二）审核经办机构编制的全</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职工基本医疗保险基金、城乡居民基本医疗保险基金、生育保险基金财务报表、年度预决算报表。</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（三）承担</w:t>
      </w:r>
      <w:r>
        <w:rPr>
          <w:rFonts w:hint="eastAsia" w:ascii="仿宋" w:hAnsi="仿宋" w:eastAsia="仿宋" w:cs="仿宋"/>
          <w:color w:val="auto"/>
          <w:sz w:val="32"/>
          <w:szCs w:val="32"/>
          <w:lang w:val="en-US" w:eastAsia="zh-CN"/>
        </w:rPr>
        <w:t>全县</w:t>
      </w:r>
      <w:r>
        <w:rPr>
          <w:rFonts w:hint="eastAsia" w:ascii="仿宋" w:hAnsi="仿宋" w:eastAsia="仿宋" w:cs="仿宋"/>
          <w:color w:val="auto"/>
          <w:sz w:val="32"/>
          <w:szCs w:val="32"/>
        </w:rPr>
        <w:t>医疗保障相关会计、统计数据的管理和报送、会计统计分析以及精算等工作。</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第五条  根据国家有关会计法规，建立健全岗位责任制，单位法定代表人是财务管理工作的第一责任人，要对提供的财务会计报告和会计信息资料负责。办公室配备相应的出纳、会计人员，制定职责分明的岗位责任制，内部建立必要的内部牵制制度和会计回避制度：出纳以外的人员不得经管现金、有价证券和票据;出纳人员不得兼任稽核、会计档案保管和收入、支出、费用、债权债务会计账目的登记工作;单位的法定代表人、其他主要负责人的近亲属不得在本单位担任会计机构负责人;会计人员的近亲属不得在同一会计机构担任会计工作;单位的法定代表人、其他主要负责人、会计机构负责人以及会计人员因执行公务发生的财务收支，本人不得审批。保持财会人员的相对稳定，保证财务工作顺利进行。</w:t>
      </w:r>
    </w:p>
    <w:p>
      <w:pPr>
        <w:adjustRightInd/>
        <w:snapToGrid/>
        <w:spacing w:after="0"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第三章  货币资金管理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第六条  货币资金是指单位所拥有的现金、银行存款和其他货币资金。</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（一）现金管理。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由专职出纳人员负责办理现金的收、付及保管，现金收付应及时入账，不得以白条抵库和保留账外现金，不得坐支现金。日库存现金不能超过银行规定的限额，超出部分应及时存入银行。现金收付必须日清月结，账款相符，会计人员要定期或不定期进行清查。</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（二）银行存款管理。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1、银行账户必须严格按照银行支付结算办法有关规定管理，不准私自开设账户，不准出租、出借单位的银行账户，不准签发空头支票、远期支票套取信用，不得公款私存。</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2、加强银行预留印鉴的管理。银行预留印鉴的印章由出纳和办公室主任分别保管，严禁一人保管支付款项所需的全部印章。</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加强与货币资金相关的票据的管理，明确各种票据的购买、保管、领用、背书转让、注销等环节的职责权限和程序，防止空白票据的遗失和被盗用。会计与出纳账银行余额定期对账，做到账实相符、账账相符。</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第七条  接待费、会议费、差旅费、培训费等开支严格按</w:t>
      </w:r>
      <w:r>
        <w:rPr>
          <w:rFonts w:hint="eastAsia" w:ascii="仿宋" w:hAnsi="仿宋" w:eastAsia="仿宋" w:cs="仿宋"/>
          <w:color w:val="auto"/>
          <w:sz w:val="32"/>
          <w:szCs w:val="32"/>
          <w:lang w:val="en-US" w:eastAsia="zh-CN"/>
        </w:rPr>
        <w:t>县政府、县财政局</w:t>
      </w:r>
      <w:r>
        <w:rPr>
          <w:rFonts w:hint="eastAsia" w:ascii="仿宋" w:hAnsi="仿宋" w:eastAsia="仿宋" w:cs="仿宋"/>
          <w:color w:val="auto"/>
          <w:sz w:val="32"/>
          <w:szCs w:val="32"/>
        </w:rPr>
        <w:t>等上级部门相关文件及本局相关管理规定执行。公务活动消费开支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超过1000元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一般不以现金报销，各项费用按公务卡管理相关制度办理。 </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第八条  职工因公借款的相关手续。因工作需要借款的人员应持经领导批准的参加会议、培训、学习等相关文件，填写《内部借款审批单》办理相关借款手续。</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（一）借款人员按实际用款需要填写《内部借款审批单》，经办公室主任审核、分管财务的局领导和局长批准后方可借支。</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（二）凡已办理借款的人员，应在会议、培训、学习等工作完成后5日内办理报账核销手续，不得长期挂帐。</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第九条部门预算经费的支出管理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（一）局各项经费支出在年度下达的预算计划内，实行经费支出审批制度。</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（二）机关办公日常运行业务所需支出凭合法的票据，填制相关费用报销凭证（按规定有相关合同或辅助资料的，要提供相关合同或辅助资料），票据及费用报销凭证须有经办人（制单）、</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室负责人证明（票据背面），报分管该</w:t>
      </w:r>
      <w:r>
        <w:rPr>
          <w:rFonts w:hint="eastAsia" w:ascii="仿宋" w:hAnsi="仿宋" w:eastAsia="仿宋" w:cs="仿宋"/>
          <w:color w:val="auto"/>
          <w:sz w:val="32"/>
          <w:szCs w:val="32"/>
          <w:lang w:val="en-US" w:eastAsia="zh-CN"/>
        </w:rPr>
        <w:t>股</w:t>
      </w:r>
      <w:r>
        <w:rPr>
          <w:rFonts w:hint="eastAsia" w:ascii="仿宋" w:hAnsi="仿宋" w:eastAsia="仿宋" w:cs="仿宋"/>
          <w:color w:val="auto"/>
          <w:sz w:val="32"/>
          <w:szCs w:val="32"/>
        </w:rPr>
        <w:t>室的局领导（复核）审核后，交由会计审核报销单据的完整性和合理性（会计审核意见），再由办公室主任（会计主管）审核，最后由分管财务的局领导审批（领导批示）后方可报销。凡不符合开支规定或审批手续不全的，一律不予办理报销。</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（三）严格执行政府采购管理制度，具体按本局相关管理规定实施。 </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（四）支出监督。局部门经费收支预决算按要求向社会公开，接受上级主管部门、财政部门、各级审计部门的监督。</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第十条  其他。</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（一）单位的所有收入，必须纳入单位财务管理，不得私设“账外账”、“小钱柜”，否则按违纪论处。</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（二）单位工会账收入、支出的财务管理严格按省、市</w:t>
      </w:r>
      <w:r>
        <w:rPr>
          <w:rFonts w:hint="eastAsia" w:ascii="仿宋" w:hAnsi="仿宋" w:eastAsia="仿宋" w:cs="仿宋"/>
          <w:color w:val="auto"/>
          <w:sz w:val="32"/>
          <w:szCs w:val="32"/>
          <w:lang w:val="en-US" w:eastAsia="zh-CN"/>
        </w:rPr>
        <w:t>和县</w:t>
      </w:r>
      <w:r>
        <w:rPr>
          <w:rFonts w:hint="eastAsia" w:ascii="仿宋" w:hAnsi="仿宋" w:eastAsia="仿宋" w:cs="仿宋"/>
          <w:color w:val="auto"/>
          <w:sz w:val="32"/>
          <w:szCs w:val="32"/>
        </w:rPr>
        <w:t>总工会的相关制度执行。</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（三）单位票据要有专人负责保管，实行领用、缴回登记制度。票据使用应合法合规，使用完应及时回缴，保管人员应认真核对使用数量及金额。</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（四）对不符合财务管理规定的货币资金支付申请，出纳人员有权拒绝办理。</w:t>
      </w:r>
    </w:p>
    <w:p>
      <w:pPr>
        <w:adjustRightInd/>
        <w:snapToGrid/>
        <w:spacing w:after="0"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第四章  专项资金管理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第十一条  专项资金是指中央和省级、市</w:t>
      </w:r>
      <w:r>
        <w:rPr>
          <w:rFonts w:hint="eastAsia" w:ascii="仿宋" w:hAnsi="仿宋" w:eastAsia="仿宋" w:cs="仿宋"/>
          <w:color w:val="auto"/>
          <w:sz w:val="32"/>
          <w:szCs w:val="32"/>
          <w:lang w:val="en-US" w:eastAsia="zh-CN"/>
        </w:rPr>
        <w:t>和县</w:t>
      </w:r>
      <w:r>
        <w:rPr>
          <w:rFonts w:hint="eastAsia" w:ascii="仿宋" w:hAnsi="仿宋" w:eastAsia="仿宋" w:cs="仿宋"/>
          <w:color w:val="auto"/>
          <w:sz w:val="32"/>
          <w:szCs w:val="32"/>
        </w:rPr>
        <w:t>级财政安排用于全</w:t>
      </w:r>
      <w:r>
        <w:rPr>
          <w:rFonts w:hint="eastAsia" w:ascii="仿宋" w:hAnsi="仿宋" w:eastAsia="仿宋" w:cs="仿宋"/>
          <w:color w:val="auto"/>
          <w:sz w:val="32"/>
          <w:szCs w:val="32"/>
          <w:lang w:val="en-US" w:eastAsia="zh-CN"/>
        </w:rPr>
        <w:t>县医疗保障</w:t>
      </w:r>
      <w:r>
        <w:rPr>
          <w:rFonts w:hint="eastAsia" w:ascii="仿宋" w:hAnsi="仿宋" w:eastAsia="仿宋" w:cs="仿宋"/>
          <w:color w:val="auto"/>
          <w:sz w:val="32"/>
          <w:szCs w:val="32"/>
        </w:rPr>
        <w:t>事业发展的资金。</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第十二条  资金的拨付本着专款专用的原则，严格执行项目资金批准的使用计划和项目批复内容，不得擅自调项、扩项、缩项，更不得拆借、挪用、挤占和随意扣压；专项资金的拨付，按不同专项资金的要求执行，不准任意改变。</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第十三条  严格专项资金审核制度，使用财政专户内专项资金，需填写《</w:t>
      </w:r>
      <w:r>
        <w:rPr>
          <w:rFonts w:hint="eastAsia" w:ascii="仿宋" w:hAnsi="仿宋" w:eastAsia="仿宋" w:cs="仿宋"/>
          <w:color w:val="auto"/>
          <w:sz w:val="32"/>
          <w:szCs w:val="32"/>
          <w:lang w:val="en-US" w:eastAsia="zh-CN"/>
        </w:rPr>
        <w:t>丰顺县县级</w:t>
      </w:r>
      <w:r>
        <w:rPr>
          <w:rFonts w:hint="eastAsia" w:ascii="仿宋" w:hAnsi="仿宋" w:eastAsia="仿宋" w:cs="仿宋"/>
          <w:color w:val="auto"/>
          <w:sz w:val="32"/>
          <w:szCs w:val="32"/>
        </w:rPr>
        <w:t>财政国库直接支付申请书》，经分管领导和局长审批后报市财政局。</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第十四条  加强财务基础管理工作，建立健全基础台账，规范财务核算工作，及时、全面、客观反映各项资金收支结余情况。要加强专项资金档案资料的管理工作，确保与专项资金管理使用相关的单据、凭证、文件、资料等相关档案材料按规定期限保管齐全。</w:t>
      </w:r>
    </w:p>
    <w:p>
      <w:pPr>
        <w:adjustRightInd/>
        <w:snapToGrid/>
        <w:spacing w:after="0"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第五章  固定资产管理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第十五条  固定资产是指单位价值在规定标准以上，使用期限在一年以上，并在使用过程中能基本保持原有物质形态的资产。单位价值虽未达到规定标准，但使用时间在一年以上的大批同类物质，应视作固定资产管理。</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第十六条  固定资产由局办公室会计人员统一建账、核算，局办公室资产管理员统一登记、管理实物，并建立固定资产管理责任制，明确办公室以及固定资产使用部门的责任，对固定资产定期或者不定期进行清查盘点，做到账、卡、实相符。</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第十七条  局机关拟利用固定资产对外出租、出借、捐赠的，必须由局办公室提出书面申请，报局长办公会议讨论审核通过后，上报市财政局审批。</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第十八条  固定资产购置、验收、保管、使用、清查、报废等按市财政局相关文件及本局相关管理规定执行。</w:t>
      </w:r>
    </w:p>
    <w:p>
      <w:pPr>
        <w:adjustRightInd/>
        <w:snapToGrid/>
        <w:spacing w:after="0" w:line="60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  附  则</w:t>
      </w:r>
    </w:p>
    <w:p>
      <w:pPr>
        <w:adjustRightInd/>
        <w:snapToGrid/>
        <w:spacing w:after="0"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第十九条  本制度相关条款内容由局办公室负责解释，本制度未尽事宜，由局领导班子研究决定。</w:t>
      </w:r>
    </w:p>
    <w:p>
      <w:pPr>
        <w:adjustRightInd/>
        <w:snapToGrid/>
        <w:spacing w:after="0" w:line="600" w:lineRule="exact"/>
        <w:ind w:firstLine="640" w:firstLineChars="200"/>
        <w:rPr>
          <w:rFonts w:hint="eastAsia" w:ascii="仿宋" w:hAnsi="仿宋" w:eastAsia="仿宋" w:cs="仿宋"/>
          <w:color w:val="auto"/>
          <w:sz w:val="32"/>
          <w:szCs w:val="32"/>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hint="eastAsia" w:asciiTheme="majorEastAsia" w:hAnsiTheme="majorEastAsia" w:eastAsiaTheme="majorEastAsia"/>
          <w:b/>
          <w:color w:val="FF0000"/>
          <w:sz w:val="44"/>
          <w:szCs w:val="44"/>
        </w:rPr>
      </w:pPr>
    </w:p>
    <w:p>
      <w:pPr>
        <w:adjustRightInd/>
        <w:snapToGrid/>
        <w:spacing w:after="0" w:line="600" w:lineRule="exact"/>
        <w:jc w:val="center"/>
        <w:rPr>
          <w:rFonts w:hint="eastAsia" w:asciiTheme="majorEastAsia" w:hAnsiTheme="majorEastAsia" w:eastAsiaTheme="majorEastAsia"/>
          <w:b/>
          <w:color w:val="FF0000"/>
          <w:sz w:val="44"/>
          <w:szCs w:val="44"/>
        </w:rPr>
      </w:pPr>
    </w:p>
    <w:p>
      <w:pPr>
        <w:adjustRightInd/>
        <w:snapToGrid/>
        <w:spacing w:after="0" w:line="600" w:lineRule="exact"/>
        <w:jc w:val="center"/>
        <w:rPr>
          <w:rFonts w:hint="eastAsia" w:asciiTheme="majorEastAsia" w:hAnsiTheme="majorEastAsia" w:eastAsiaTheme="majorEastAsia"/>
          <w:b/>
          <w:color w:val="FF0000"/>
          <w:sz w:val="44"/>
          <w:szCs w:val="44"/>
        </w:rPr>
      </w:pPr>
    </w:p>
    <w:p>
      <w:pPr>
        <w:adjustRightInd/>
        <w:snapToGrid/>
        <w:spacing w:after="0" w:line="600" w:lineRule="exact"/>
        <w:jc w:val="center"/>
        <w:rPr>
          <w:rFonts w:ascii="仿宋_GB2312" w:eastAsia="仿宋_GB2312"/>
          <w:b/>
          <w:bCs w:val="0"/>
          <w:color w:val="auto"/>
          <w:sz w:val="32"/>
          <w:szCs w:val="32"/>
        </w:rPr>
      </w:pPr>
      <w:r>
        <w:rPr>
          <w:rFonts w:hint="eastAsia" w:asciiTheme="majorEastAsia" w:hAnsiTheme="majorEastAsia" w:eastAsiaTheme="majorEastAsia"/>
          <w:b/>
          <w:bCs w:val="0"/>
          <w:color w:val="auto"/>
          <w:sz w:val="44"/>
          <w:szCs w:val="44"/>
        </w:rPr>
        <w:t>公务卡管理使用办法</w:t>
      </w:r>
    </w:p>
    <w:p>
      <w:pPr>
        <w:adjustRightInd/>
        <w:snapToGrid/>
        <w:spacing w:after="0" w:line="560" w:lineRule="exact"/>
        <w:ind w:firstLine="640" w:firstLineChars="200"/>
        <w:rPr>
          <w:rFonts w:ascii="仿宋_GB2312" w:eastAsia="仿宋_GB2312"/>
          <w:sz w:val="32"/>
          <w:szCs w:val="32"/>
        </w:rPr>
      </w:pP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为进一步深化国库集中支付制度改革，加强和规范财务管理，减少现金支付结算，提高公务支出的透明度，根据</w:t>
      </w:r>
      <w:r>
        <w:rPr>
          <w:rFonts w:hint="eastAsia" w:ascii="仿宋" w:hAnsi="仿宋" w:eastAsia="仿宋" w:cs="仿宋"/>
          <w:sz w:val="32"/>
          <w:szCs w:val="32"/>
          <w:lang w:val="en-US" w:eastAsia="zh-CN"/>
        </w:rPr>
        <w:t>相关文件精神</w:t>
      </w:r>
      <w:r>
        <w:rPr>
          <w:rFonts w:hint="eastAsia" w:ascii="仿宋" w:hAnsi="仿宋" w:eastAsia="仿宋" w:cs="仿宋"/>
          <w:sz w:val="32"/>
          <w:szCs w:val="32"/>
        </w:rPr>
        <w:t>，结合本局实际情况，制定本办法。</w:t>
      </w:r>
    </w:p>
    <w:p>
      <w:pPr>
        <w:adjustRightInd/>
        <w:snapToGrid/>
        <w:spacing w:after="0"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一、公务卡的开立范围和标准</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务卡是指单位编制内职工持有的，主要用于日常公务活动开支和财务报销业务的信用卡（贷记卡）。单位不对公务卡的开设提供担保,公务卡由银行负责统一发放，实行免费开卡、免收年费、免担保、免开存款账户、免费补卡、换卡、免费短信服务等，具有20—56天的透支免息期。</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本单位编制内所有正式职工应开设公务卡。单位根据每位职工的工作性质和需要，信用额度按如下原则设定：局长5万元</w:t>
      </w:r>
      <w:r>
        <w:rPr>
          <w:rFonts w:hint="eastAsia" w:ascii="仿宋" w:hAnsi="仿宋" w:eastAsia="仿宋" w:cs="仿宋"/>
          <w:sz w:val="32"/>
          <w:szCs w:val="32"/>
          <w:lang w:eastAsia="zh-CN"/>
        </w:rPr>
        <w:t>，</w:t>
      </w:r>
      <w:r>
        <w:rPr>
          <w:rFonts w:hint="eastAsia" w:ascii="仿宋" w:hAnsi="仿宋" w:eastAsia="仿宋" w:cs="仿宋"/>
          <w:sz w:val="32"/>
          <w:szCs w:val="32"/>
        </w:rPr>
        <w:t>副局长3万元、正副</w:t>
      </w:r>
      <w:r>
        <w:rPr>
          <w:rFonts w:hint="eastAsia" w:ascii="仿宋" w:hAnsi="仿宋" w:eastAsia="仿宋" w:cs="仿宋"/>
          <w:sz w:val="32"/>
          <w:szCs w:val="32"/>
          <w:lang w:val="en-US" w:eastAsia="zh-CN"/>
        </w:rPr>
        <w:t>股</w:t>
      </w:r>
      <w:r>
        <w:rPr>
          <w:rFonts w:hint="eastAsia" w:ascii="仿宋" w:hAnsi="仿宋" w:eastAsia="仿宋" w:cs="仿宋"/>
          <w:sz w:val="32"/>
          <w:szCs w:val="32"/>
        </w:rPr>
        <w:t>长2万元、一般干部1万元。</w:t>
      </w:r>
    </w:p>
    <w:p>
      <w:pPr>
        <w:adjustRightInd/>
        <w:snapToGrid/>
        <w:spacing w:after="0"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二、公务卡的使用和报销</w:t>
      </w:r>
    </w:p>
    <w:p>
      <w:pPr>
        <w:adjustRightInd/>
        <w:snapToGrid/>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公务卡的报销结算遵循“两个基本不变”、“两个严格管理”原则。“两个基本不变”：是指现行财务管理制度和报销审批流程不变，现行会计核算管理办法不变；“两个严格管理”：是指对现金的使用实行严格管理，对公务卡的公务支出严格管理。</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公务卡的资金结算范围：单位原使用现金结算的日常公用开支和零星购买支出，包括差旅费、公务招待费、办公费、会议费、培训费、公车运行维护费、专用材料费等16项。持卡人应在具备刷卡结算条件的单位购买商品和服务，必须使用公务卡。使用公务卡结算，财会人员一般不再办理现金借款、报账业务，确因个别特殊情况需要，经单位领导批准，方可办理。</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（二）公务卡使用和报销流程。</w:t>
      </w:r>
    </w:p>
    <w:p>
      <w:pPr>
        <w:adjustRightInd/>
        <w:snapToGrid/>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使用公务卡结算的公务支出必须单独填列报销审批单（即与其他方式结算的公务支出分开填列报销审批单），附公务卡消费交易凭条（本人签名POS小票）和发票（消费交易凭条和发票的金额和日期必须一致）。差旅费报销时要将使用公务卡结算（住宿费，车票等）和未使用公务卡结算（出差补助、出租车票等）的单据分开填写报销审批单。</w:t>
      </w:r>
    </w:p>
    <w:p>
      <w:pPr>
        <w:adjustRightInd/>
        <w:snapToGrid/>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公务支出发生后，持卡人应及时（一般刷卡消费后15天内）办理报销审批，财会人员按规定对报销凭证进行审核，对符合公务卡结算范围和财务制度规定的支出办理报销手续，将报销金额及时转入个人公务卡账户进行还款。持卡人报账不及时造成的罚息、滞纳金等相关费用（银行规定账单日为每月20日，还款日为账单日后第25天），由持卡人承担。</w:t>
      </w:r>
    </w:p>
    <w:p>
      <w:pPr>
        <w:adjustRightInd/>
        <w:snapToGrid/>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持卡人在执行公务中不得通过公务卡透支提取现金或转账。如因透支提现或转账发生的手续费、利息、罚息等费用，均由持卡人个人承担。公务卡也可以用于个人支付结算业务，个人消费部分由持卡人自行偿还，本局不承担私人消费引起的一切责任。为便于管理，公务消费与私人消费应尽可能分开刷卡。</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4、公务支出因特殊情况未使用公务卡结算，使用现金结算的，办理财务报销手续时要另附情况说明，按照本局现行财务管理制度和报销审批程序进行报销。</w:t>
      </w:r>
    </w:p>
    <w:p>
      <w:pPr>
        <w:adjustRightInd/>
        <w:snapToGrid/>
        <w:spacing w:after="0"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三、公务卡不予报销的范围 </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（一）报销费用与提供的报销凭证、刷卡交易凭条明细不符的。</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（二）因个人报销不及时超过免息期后发生的银行罚息、滞纳金等费用。</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（三）因个人保管不慎或遗失等原因，导致公务卡被盗刷所形成的支出。</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（四）消费后无交易凭条或发票等形成的支出。</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（五）其他不符合财务管理规定和要求的支出，由持卡人负担。</w:t>
      </w:r>
    </w:p>
    <w:p>
      <w:pPr>
        <w:adjustRightInd/>
        <w:snapToGrid/>
        <w:spacing w:after="0"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四、公务卡的保管</w:t>
      </w:r>
    </w:p>
    <w:p>
      <w:pPr>
        <w:adjustRightInd/>
        <w:snapToGrid/>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 公务卡按照“个人申请、财务审核确认、签订领用合约、代理银行发放”的流程办理，由财会人员统一向发卡行申办。</w:t>
      </w:r>
    </w:p>
    <w:p>
      <w:pPr>
        <w:adjustRightInd/>
        <w:snapToGrid/>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 公务卡实行“一人一卡”实名制管理，卡片和密码由持卡人个人负责保管，收到后应及时开通激活卡片。持卡人应妥善保管公务卡，如有遗失或毁损，个人自行到发卡行办理挂失、补办手续，由出纳人员在公务卡管理系统进行信息变更及维护管理。</w:t>
      </w:r>
    </w:p>
    <w:p>
      <w:pPr>
        <w:adjustRightInd/>
        <w:snapToGrid/>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 持卡人因调离、退休、离职等原因离开本局时，应在离岗之前，按要求及时清理公务卡相关债权债务，结清余款。</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五、其他</w:t>
      </w:r>
    </w:p>
    <w:p>
      <w:pPr>
        <w:adjustRightInd/>
        <w:snapToGrid/>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实行公务卡结算方式后，一般情况下不再办理现金借款业务，不再使用现金结算。但属于下列情况的，可以继续使用现金结算：</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 在县级以下（不包括县级）地区不具备刷卡条件的场所发生的公务支出。</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（二）在县级及县级以上地区不具备刷卡条件的场所发生的单笔消费在1000元（含）以下的公务支出。</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（三）按照《现金管理暂行条例》等有关规定支付给个人的现金支出。</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（四）签证费、快递费、过桥过路费、出租车费用等目前只能使用现金结算的支出。</w:t>
      </w:r>
    </w:p>
    <w:p>
      <w:pPr>
        <w:adjustRightInd/>
        <w:snapToGrid/>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（五）其他特殊情况经批准的项目。</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hint="eastAsia" w:asciiTheme="majorEastAsia" w:hAnsiTheme="majorEastAsia" w:eastAsiaTheme="majorEastAsia"/>
          <w:b/>
          <w:color w:val="000000" w:themeColor="text1"/>
          <w:sz w:val="44"/>
          <w:szCs w:val="44"/>
        </w:rPr>
      </w:pPr>
    </w:p>
    <w:p>
      <w:pPr>
        <w:adjustRightInd/>
        <w:snapToGrid/>
        <w:spacing w:after="0" w:line="600" w:lineRule="exact"/>
        <w:jc w:val="center"/>
        <w:rPr>
          <w:rFonts w:hint="eastAsia"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r>
        <w:rPr>
          <w:rFonts w:hint="eastAsia" w:asciiTheme="majorEastAsia" w:hAnsiTheme="majorEastAsia" w:eastAsiaTheme="majorEastAsia"/>
          <w:b/>
          <w:color w:val="000000" w:themeColor="text1"/>
          <w:sz w:val="44"/>
          <w:szCs w:val="44"/>
        </w:rPr>
        <w:t>固定资产管理制度</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为加强我局固定资产管理，保障固定资产的安全与完整，提高使用效率，实现固定资产科学化、规范化管理，根据国有资产管理的有关规定，结合我局实际情况，对我局固定资产管理规定如下：</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一、纳入固定资产管理的范围</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 固定资产指一般设备单位价值在1000元以上，通用及专用设备在1500元以上，使用期限在一年以上的，并在使用过程中基本保持原来物质形态的资产。或单位价值虽未达到上述标准，但耐用时间在一年以上的大批同类物资，也作为固定资产。</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固定资产暂分为以下六大类：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第一类 土地；</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第二类 房屋和建筑物；</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第三类 通用及专用设备：包括计算机、电机话、传真机、复印机、打印机、电视机、录相机、照机器材、电风扇、空调机等电器，通讯电子设备、机械设备、信息系统软件、硬件等；</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第四类 一般设备：包括办公家私、家具、文娱体育器械等；</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第五类 交通工具：包括各种大小型汽车、摩托车等；</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第六类 以上各类未包括的其他固定资产。</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二、固定资产的购置</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股</w:t>
      </w:r>
      <w:r>
        <w:rPr>
          <w:rFonts w:hint="eastAsia" w:ascii="仿宋" w:hAnsi="仿宋" w:eastAsia="仿宋" w:cs="仿宋"/>
          <w:sz w:val="32"/>
          <w:szCs w:val="32"/>
        </w:rPr>
        <w:t>室拟购置固定资产须先提出申请，报分管领导同意，再报局主要领导批准或经局党组会研究同意后由办公室按照有关规定组织采购。</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三、固定资产的登记</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固定资产实行一帐、一表的登记制度。一帐指办公室对全局固定资产建立实物帐，会计人员对全局固定资产建立固定资产财务总账。一表指办公室对</w:t>
      </w:r>
      <w:r>
        <w:rPr>
          <w:rFonts w:hint="eastAsia" w:ascii="仿宋" w:hAnsi="仿宋" w:eastAsia="仿宋" w:cs="仿宋"/>
          <w:sz w:val="32"/>
          <w:szCs w:val="32"/>
          <w:lang w:val="en-US" w:eastAsia="zh-CN"/>
        </w:rPr>
        <w:t>股</w:t>
      </w:r>
      <w:r>
        <w:rPr>
          <w:rFonts w:hint="eastAsia" w:ascii="仿宋" w:hAnsi="仿宋" w:eastAsia="仿宋" w:cs="仿宋"/>
          <w:sz w:val="32"/>
          <w:szCs w:val="32"/>
        </w:rPr>
        <w:t>室所有固定资产建立登记表。使用人发生变化的，</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室负责人应及时告知办公室，办理变更手续，明确责任。局领导发生变动时，也应办理固定资产交接手续。未分配到各</w:t>
      </w:r>
      <w:r>
        <w:rPr>
          <w:rFonts w:hint="eastAsia" w:ascii="仿宋" w:hAnsi="仿宋" w:eastAsia="仿宋" w:cs="仿宋"/>
          <w:sz w:val="32"/>
          <w:szCs w:val="32"/>
          <w:lang w:val="en-US" w:eastAsia="zh-CN"/>
        </w:rPr>
        <w:t>股</w:t>
      </w:r>
      <w:r>
        <w:rPr>
          <w:rFonts w:hint="eastAsia" w:ascii="仿宋" w:hAnsi="仿宋" w:eastAsia="仿宋" w:cs="仿宋"/>
          <w:sz w:val="32"/>
          <w:szCs w:val="32"/>
        </w:rPr>
        <w:t>室使用的固定资产，由办公室负责签章与日常管理。会计人员对全局固定资产均登记明细，分类录入广东省财政厅资产管理系统，接受财政部门的监管。</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四、固定资产的使用维护</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固定资产的采购合同、购买发票由会计人员按规定入账，复印件由办公室统一保管。固定资产使用者为该资产第一责任人，负有维护其正常使用的责任。固定资产的维修由资产负责人提出需求，报办公室组织实施。</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五、固定资产的调配</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固定资产调配以从严控制、物尽其用、勤俭节约为原则，由办公室在全局范围内统一调配，同时办理变更手续。未经批准，个人不得转移、调换所用固定资产。</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六、固定资产的报废</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对于因使用时间较长、损坏严重而不能继续使用的固定资产，由</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室负责人向办公室提出报废申请，由办公室组织人员鉴定，鉴定后由鉴定人签署意见报局领导，按固定资产报废有关规定和管理权限审批后，方可进行相关账务处理。</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七、固定资产的清查盘点及折旧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办公室资产管理员、会计人员和使用部门应定期对帐一次，确保帐实、帐表、帐帐相符。办公室资产管理员、会计人员对全局固定资产应定期进行一次全面清查盘点，查明固定资产的实有数与帐面结存数是否相符，确定固定资产的盘盈盘亏情况，如有丢失、损坏需查明原因，加强固定资产的保管、使用、维修等。固定资产折旧按财政部门的要求及时作分类计提折旧，对应财政部门做好资产分析报告，确保政府财务综合报告资产、折旧、净资产差异表数据一致。</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八、其他</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固定资产未经局领导批准或局党组会研究一律不得出租、出借。</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工作人员调离本局的，必须到办公室办理所使用固定资产的移交手续，由办公室负责人签字，否则不予办理相关手续。</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由于人为原因造成固定资产丢失、毁损或私自将报废资产丢弃、变卖的，使用</w:t>
      </w:r>
      <w:r>
        <w:rPr>
          <w:rFonts w:hint="eastAsia" w:ascii="仿宋" w:hAnsi="仿宋" w:eastAsia="仿宋" w:cs="仿宋"/>
          <w:sz w:val="32"/>
          <w:szCs w:val="32"/>
          <w:lang w:val="en-US" w:eastAsia="zh-CN"/>
        </w:rPr>
        <w:t>股</w:t>
      </w:r>
      <w:r>
        <w:rPr>
          <w:rFonts w:hint="eastAsia" w:ascii="仿宋" w:hAnsi="仿宋" w:eastAsia="仿宋" w:cs="仿宋"/>
          <w:sz w:val="32"/>
          <w:szCs w:val="32"/>
        </w:rPr>
        <w:t>室或使用人要按评估价进行赔偿。</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固定资产报废处置后，资产残值收益应及时上缴财政局资产管理专户。</w:t>
      </w: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合同管理制度</w:t>
      </w:r>
    </w:p>
    <w:p>
      <w:pPr>
        <w:adjustRightInd/>
        <w:snapToGrid/>
        <w:spacing w:after="0" w:line="600" w:lineRule="exact"/>
        <w:rPr>
          <w:rFonts w:ascii="仿宋_GB2312" w:eastAsia="仿宋_GB2312"/>
          <w:sz w:val="32"/>
          <w:szCs w:val="32"/>
        </w:rPr>
      </w:pPr>
      <w:r>
        <w:rPr>
          <w:rFonts w:hint="eastAsia" w:ascii="仿宋_GB2312" w:eastAsia="仿宋_GB2312"/>
          <w:sz w:val="32"/>
          <w:szCs w:val="32"/>
        </w:rPr>
        <w:tab/>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为加强局机关合同管理，规范合同的签订、履行和监管，预防和减少合同纠纷，防范法律风险，根据《合同法》等法律法规，结合我局实际，制定本制度。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本局在开展行政管理、提供公共服务或从事民商事经济活动时，与公民、法人或其他组织谈判、协商、订立、履行合同、协议，适用本制度相关规定。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本制度所称合同，主要包括下列类型：</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（一）涉及国有资产和财政资金的建设、养护、出租、承包、买卖合同；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（二）行政委托合同；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（三）政府采购合同；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（四）劳务合同或劳动合同；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（五）局机关签订的其他合同。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订立合同，应当遵循合法、公平、平等自愿、协调一致、诚实信用的原则。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订立、履行合同，实行事前法律风险防范、事中法律过程控制、事后法律手段补救相结合的原则。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本局对订立合同实行合法性审查，并定期对已签订合同的履行情况进行清理。财务</w:t>
      </w:r>
      <w:r>
        <w:rPr>
          <w:rFonts w:hint="eastAsia" w:ascii="仿宋" w:hAnsi="仿宋" w:eastAsia="仿宋" w:cs="仿宋"/>
          <w:sz w:val="32"/>
          <w:szCs w:val="32"/>
          <w:lang w:val="en-US" w:eastAsia="zh-CN"/>
        </w:rPr>
        <w:t>部门</w:t>
      </w:r>
      <w:r>
        <w:rPr>
          <w:rFonts w:hint="eastAsia" w:ascii="仿宋" w:hAnsi="仿宋" w:eastAsia="仿宋" w:cs="仿宋"/>
          <w:sz w:val="32"/>
          <w:szCs w:val="32"/>
        </w:rPr>
        <w:t xml:space="preserve">负责合同资金相关内容的把关，办公室负责本局对外订立合同的合法性审查、备案、清理等工作。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对合同的合法性审查主要包括以下内容：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（一）合同主体是否合法；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（二）合同内容是否合法；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（三）合同形式是否合法；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（四）合同条款是否完整、有效；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（五）合同变更、违约责任、争议处理条款是否合法；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（六）合同是否有违反本制度第十二条规定的条款。</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法律、法规、规章及规范性文件规定应当报经有关部门批准的合同，由合同承办部门依程序报批。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本局需要对外签订合同，应当明确承办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室和承办人具体负责合同的谈判、起草、履行等事宜。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合同承办</w:t>
      </w:r>
      <w:r>
        <w:rPr>
          <w:rFonts w:hint="eastAsia" w:ascii="仿宋" w:hAnsi="仿宋" w:eastAsia="仿宋" w:cs="仿宋"/>
          <w:sz w:val="32"/>
          <w:szCs w:val="32"/>
          <w:lang w:val="en-US" w:eastAsia="zh-CN"/>
        </w:rPr>
        <w:t>股</w:t>
      </w:r>
      <w:r>
        <w:rPr>
          <w:rFonts w:hint="eastAsia" w:ascii="仿宋" w:hAnsi="仿宋" w:eastAsia="仿宋" w:cs="仿宋"/>
          <w:sz w:val="32"/>
          <w:szCs w:val="32"/>
        </w:rPr>
        <w:t>室的主要职责：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（一）负责合同项目的调研、评估、提供初步意见；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（二）审查合同相对方的主体资格、资信、履约能力；</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（三）负责订立合同的协商与谈判、合同文本的拟定与修改；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（四）将合同文本等资料报办公室进行合法性审查；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（五）根据办公室要求提供相关材料，配合办公室对合同进行监督、检查；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（六）负责合同履行，对合同履行过程中发生的纠纷和发现的问题进行调查处理；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（七）负责合同纠纷的协商调解、仲裁、诉讼等活动；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（八）保管合同文本及与履行、变更、解除合同有关的文件资料，并负责按规定清理、移交。</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本局对外签订合同应当以书面形式且应当具备以下条款：</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（一）合同主体的名称、住所；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（二）合同标的或者项目的详细内容；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（三）合同当事人的权利和义务；</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（四）履行期限、地点和方式；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（五）违约责任及赔偿损失的计算方法；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（六）合同变更、解除及终止的条件；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（七）合同争议解决方式；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（八）生效条件、订立日期。</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第十一条  合同不得有下列内容：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（一）超越本局行政职权范围的承诺或者义务性规定；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（二）违反法律规定以本局名义对外提供担保；</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（三）以临时机构、议事协调机构和内设机构作为一方当事人订立合同；</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（四）违反规定从事经营性活动；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（五）其他违反法律、法规、规章或者损害国家、社会公共利益的约定。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第十二条  合同签订后，承办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室应将合同原件送交办公室，副本或复印件留承办</w:t>
      </w:r>
      <w:r>
        <w:rPr>
          <w:rFonts w:hint="eastAsia" w:ascii="仿宋" w:hAnsi="仿宋" w:eastAsia="仿宋" w:cs="仿宋"/>
          <w:sz w:val="32"/>
          <w:szCs w:val="32"/>
          <w:lang w:val="en-US" w:eastAsia="zh-CN"/>
        </w:rPr>
        <w:t>股</w:t>
      </w:r>
      <w:r>
        <w:rPr>
          <w:rFonts w:hint="eastAsia" w:ascii="仿宋" w:hAnsi="仿宋" w:eastAsia="仿宋" w:cs="仿宋"/>
          <w:sz w:val="32"/>
          <w:szCs w:val="32"/>
        </w:rPr>
        <w:t>室。</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第十三条  重大行政合同或涉及国有资产处置的合同按照政府有关规定办理。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第十四条  合同签订后，承办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室应当按照合同约定做好履行合同的相关工作。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第十五条  合同订立过程中形成的材料和资料，合同承办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室应当立卷归档。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第十六条  合同承办</w:t>
      </w:r>
      <w:r>
        <w:rPr>
          <w:rFonts w:hint="eastAsia" w:ascii="仿宋" w:hAnsi="仿宋" w:eastAsia="仿宋" w:cs="仿宋"/>
          <w:sz w:val="32"/>
          <w:szCs w:val="32"/>
          <w:lang w:val="en-US" w:eastAsia="zh-CN"/>
        </w:rPr>
        <w:t>股</w:t>
      </w:r>
      <w:r>
        <w:rPr>
          <w:rFonts w:hint="eastAsia" w:ascii="仿宋" w:hAnsi="仿宋" w:eastAsia="仿宋" w:cs="仿宋"/>
          <w:sz w:val="32"/>
          <w:szCs w:val="32"/>
        </w:rPr>
        <w:t>室工作人员违反规定在签订、履行合同的工作中徇私舞弊、失职渎职，造成重大经济损失和严重后果的，依照有关规定追究责任。</w:t>
      </w:r>
    </w:p>
    <w:p>
      <w:pPr>
        <w:adjustRightInd/>
        <w:snapToGrid/>
        <w:spacing w:after="0" w:line="600" w:lineRule="exact"/>
        <w:rPr>
          <w:rFonts w:ascii="仿宋_GB2312" w:eastAsia="仿宋_GB2312"/>
          <w:sz w:val="32"/>
          <w:szCs w:val="32"/>
        </w:rPr>
      </w:pPr>
      <w:r>
        <w:rPr>
          <w:rFonts w:hint="eastAsia" w:ascii="仿宋_GB2312" w:eastAsia="仿宋_GB2312"/>
          <w:sz w:val="32"/>
          <w:szCs w:val="32"/>
        </w:rPr>
        <w:t>　　</w:t>
      </w: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jc w:val="center"/>
        <w:rPr>
          <w:rFonts w:asciiTheme="majorEastAsia" w:hAnsiTheme="majorEastAsia" w:eastAsiaTheme="majorEastAsia"/>
          <w:b/>
          <w:color w:val="000000" w:themeColor="text1"/>
          <w:sz w:val="44"/>
          <w:szCs w:val="44"/>
        </w:rPr>
      </w:pPr>
      <w:r>
        <w:rPr>
          <w:rFonts w:hint="eastAsia" w:asciiTheme="majorEastAsia" w:hAnsiTheme="majorEastAsia" w:eastAsiaTheme="majorEastAsia"/>
          <w:b/>
          <w:color w:val="000000" w:themeColor="text1"/>
          <w:sz w:val="44"/>
          <w:szCs w:val="44"/>
        </w:rPr>
        <w:t>政府采购管理制度</w:t>
      </w:r>
    </w:p>
    <w:p>
      <w:pPr>
        <w:adjustRightInd/>
        <w:snapToGrid/>
        <w:spacing w:after="0" w:line="600" w:lineRule="exact"/>
        <w:jc w:val="center"/>
        <w:rPr>
          <w:rFonts w:asciiTheme="majorEastAsia" w:hAnsiTheme="majorEastAsia" w:eastAsiaTheme="majorEastAsia"/>
          <w:b/>
          <w:color w:val="000000" w:themeColor="text1"/>
          <w:sz w:val="44"/>
          <w:szCs w:val="44"/>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为规范局机关政府采购行为，加强经费支出管理，提高资金使用效益，根据《中华人民共和国政府采购法》和市财政局政府采购相关管理规定，结合本局实际，制定本规程。</w:t>
      </w:r>
    </w:p>
    <w:p>
      <w:pPr>
        <w:adjustRightInd/>
        <w:snapToGrid/>
        <w:spacing w:after="0"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第一章 总　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局机关各</w:t>
      </w:r>
      <w:r>
        <w:rPr>
          <w:rFonts w:hint="eastAsia" w:ascii="仿宋" w:hAnsi="仿宋" w:eastAsia="仿宋" w:cs="仿宋"/>
          <w:sz w:val="32"/>
          <w:szCs w:val="32"/>
          <w:lang w:val="en-US" w:eastAsia="zh-CN"/>
        </w:rPr>
        <w:t>股</w:t>
      </w:r>
      <w:r>
        <w:rPr>
          <w:rFonts w:hint="eastAsia" w:ascii="仿宋" w:hAnsi="仿宋" w:eastAsia="仿宋" w:cs="仿宋"/>
          <w:sz w:val="32"/>
          <w:szCs w:val="32"/>
        </w:rPr>
        <w:t>室使用预算资金采购的，属于政府采购项目的或达到政府采购限额标准以上的单项或批量采购行为，适用本规程。</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政府采购遵循公开、公平、公正的原则，效益及维护公共利益的原则，在政府采购领域实现政务公开。</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政府采购由局办公室组织实施。</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局政府采购运行主要程序为：编制采购需求计划、局领导或局党组会议审定采购项目、向市财政局申报采购计划、组织实施采购、验收货物、办理结算、资料归集。</w:t>
      </w:r>
    </w:p>
    <w:p>
      <w:pPr>
        <w:adjustRightInd/>
        <w:snapToGrid/>
        <w:spacing w:after="0"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第二章 采购部门及职责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办公室履行以下职责：编制政府采购计划报请局长或局党组会审定；负责制定采购实施计划，确定采购方式；按照有关采购管理办法实施政府采购活动。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局机关各</w:t>
      </w:r>
      <w:r>
        <w:rPr>
          <w:rFonts w:hint="eastAsia" w:ascii="仿宋" w:hAnsi="仿宋" w:eastAsia="仿宋" w:cs="仿宋"/>
          <w:sz w:val="32"/>
          <w:szCs w:val="32"/>
          <w:lang w:val="en-US" w:eastAsia="zh-CN"/>
        </w:rPr>
        <w:t>股</w:t>
      </w:r>
      <w:r>
        <w:rPr>
          <w:rFonts w:hint="eastAsia" w:ascii="仿宋" w:hAnsi="仿宋" w:eastAsia="仿宋" w:cs="仿宋"/>
          <w:sz w:val="32"/>
          <w:szCs w:val="32"/>
        </w:rPr>
        <w:t>室作为需求部门，应当履行以下职责：（一）根据本</w:t>
      </w:r>
      <w:r>
        <w:rPr>
          <w:rFonts w:hint="eastAsia" w:ascii="仿宋" w:hAnsi="仿宋" w:eastAsia="仿宋" w:cs="仿宋"/>
          <w:sz w:val="32"/>
          <w:szCs w:val="32"/>
          <w:lang w:val="en-US" w:eastAsia="zh-CN"/>
        </w:rPr>
        <w:t>股</w:t>
      </w:r>
      <w:r>
        <w:rPr>
          <w:rFonts w:hint="eastAsia" w:ascii="仿宋" w:hAnsi="仿宋" w:eastAsia="仿宋" w:cs="仿宋"/>
          <w:sz w:val="32"/>
          <w:szCs w:val="32"/>
        </w:rPr>
        <w:t>室职能，提出本</w:t>
      </w:r>
      <w:r>
        <w:rPr>
          <w:rFonts w:hint="eastAsia" w:ascii="仿宋" w:hAnsi="仿宋" w:eastAsia="仿宋" w:cs="仿宋"/>
          <w:sz w:val="32"/>
          <w:szCs w:val="32"/>
          <w:lang w:val="en-US" w:eastAsia="zh-CN"/>
        </w:rPr>
        <w:t>股</w:t>
      </w:r>
      <w:r>
        <w:rPr>
          <w:rFonts w:hint="eastAsia" w:ascii="仿宋" w:hAnsi="仿宋" w:eastAsia="仿宋" w:cs="仿宋"/>
          <w:sz w:val="32"/>
          <w:szCs w:val="32"/>
        </w:rPr>
        <w:t>室政府采购需求计划；（二）负责编制本部门采购项目需求书。</w:t>
      </w:r>
    </w:p>
    <w:p>
      <w:pPr>
        <w:adjustRightInd/>
        <w:snapToGrid/>
        <w:spacing w:after="0"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第三章 采购程序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各</w:t>
      </w:r>
      <w:r>
        <w:rPr>
          <w:rFonts w:hint="eastAsia" w:ascii="仿宋" w:hAnsi="仿宋" w:eastAsia="仿宋" w:cs="仿宋"/>
          <w:sz w:val="32"/>
          <w:szCs w:val="32"/>
          <w:lang w:val="en-US" w:eastAsia="zh-CN"/>
        </w:rPr>
        <w:t>股</w:t>
      </w:r>
      <w:r>
        <w:rPr>
          <w:rFonts w:hint="eastAsia" w:ascii="仿宋" w:hAnsi="仿宋" w:eastAsia="仿宋" w:cs="仿宋"/>
          <w:sz w:val="32"/>
          <w:szCs w:val="32"/>
        </w:rPr>
        <w:t>室根据业务工作需要按照规定格式编报本</w:t>
      </w:r>
      <w:r>
        <w:rPr>
          <w:rFonts w:hint="eastAsia" w:ascii="仿宋" w:hAnsi="仿宋" w:eastAsia="仿宋" w:cs="仿宋"/>
          <w:sz w:val="32"/>
          <w:szCs w:val="32"/>
          <w:lang w:val="en-US" w:eastAsia="zh-CN"/>
        </w:rPr>
        <w:t>股</w:t>
      </w:r>
      <w:r>
        <w:rPr>
          <w:rFonts w:hint="eastAsia" w:ascii="仿宋" w:hAnsi="仿宋" w:eastAsia="仿宋" w:cs="仿宋"/>
          <w:sz w:val="32"/>
          <w:szCs w:val="32"/>
        </w:rPr>
        <w:t>室的采购需求计划，经分管领导审定后报送办公室汇总，办公室审核后送局长或局党组会议审定。</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审定后的采购计划由办公室报</w:t>
      </w:r>
      <w:r>
        <w:rPr>
          <w:rFonts w:hint="eastAsia" w:ascii="仿宋" w:hAnsi="仿宋" w:eastAsia="仿宋" w:cs="仿宋"/>
          <w:sz w:val="32"/>
          <w:szCs w:val="32"/>
          <w:lang w:val="en-US" w:eastAsia="zh-CN"/>
        </w:rPr>
        <w:t>县</w:t>
      </w:r>
      <w:r>
        <w:rPr>
          <w:rFonts w:hint="eastAsia" w:ascii="仿宋" w:hAnsi="仿宋" w:eastAsia="仿宋" w:cs="仿宋"/>
          <w:sz w:val="32"/>
          <w:szCs w:val="32"/>
        </w:rPr>
        <w:t>财政局政府采购办公室。</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办公室按照政府采购办法实施采购计划，由局办公室具体负责实施采购工作。涉及重大采购项目由办公室会同需求</w:t>
      </w:r>
      <w:r>
        <w:rPr>
          <w:rFonts w:hint="eastAsia" w:ascii="仿宋" w:hAnsi="仿宋" w:eastAsia="仿宋" w:cs="仿宋"/>
          <w:sz w:val="32"/>
          <w:szCs w:val="32"/>
          <w:lang w:val="en-US" w:eastAsia="zh-CN"/>
        </w:rPr>
        <w:t>股</w:t>
      </w:r>
      <w:r>
        <w:rPr>
          <w:rFonts w:hint="eastAsia" w:ascii="仿宋" w:hAnsi="仿宋" w:eastAsia="仿宋" w:cs="仿宋"/>
          <w:sz w:val="32"/>
          <w:szCs w:val="32"/>
        </w:rPr>
        <w:t>室共同实施采购。</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办公室按照政府采购结果，审核与最终确定的厂家或单位签订合同或协议的主要条款，合同或协议由单位法定代表人或其授权人签订。</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第十一条 办公室按照最终签订的合同或协议，办理有关结算事宜。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第十二条 办公室应与需求</w:t>
      </w:r>
      <w:r>
        <w:rPr>
          <w:rFonts w:hint="eastAsia" w:ascii="仿宋" w:hAnsi="仿宋" w:eastAsia="仿宋" w:cs="仿宋"/>
          <w:sz w:val="32"/>
          <w:szCs w:val="32"/>
          <w:lang w:val="en-US" w:eastAsia="zh-CN"/>
        </w:rPr>
        <w:t>股</w:t>
      </w:r>
      <w:r>
        <w:rPr>
          <w:rFonts w:hint="eastAsia" w:ascii="仿宋" w:hAnsi="仿宋" w:eastAsia="仿宋" w:cs="仿宋"/>
          <w:sz w:val="32"/>
          <w:szCs w:val="32"/>
        </w:rPr>
        <w:t>室共同进行全面、详细的检查验收，按照提供的发票或供货清单逐一核对，发现质量等问题有权拒收，必要时可邀请专业机构协助进行验收。严禁未经验收就直接送达使用部门。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第十三条 因急需必须采购的非计划审定项目，经局领导审批后，由办公室组织采购。</w:t>
      </w:r>
    </w:p>
    <w:p>
      <w:pPr>
        <w:adjustRightInd/>
        <w:snapToGrid/>
        <w:spacing w:after="0"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第四章 采购的监督管理</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第十四条 局机关任何部门和个人均有权对政府采购中的违法、违纪、违规行为进行检举和控告。</w:t>
      </w:r>
    </w:p>
    <w:p>
      <w:pPr>
        <w:adjustRightInd/>
        <w:snapToGrid/>
        <w:spacing w:after="0"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第五章 采购资料的管理</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第十五条 实施采购活动的各项资料由办公室负责归集、整理和归档，并将一份采购合同或采购协议，作为支付依据，随同会计凭证存档保管。</w:t>
      </w:r>
    </w:p>
    <w:p>
      <w:pPr>
        <w:adjustRightInd/>
        <w:snapToGrid/>
        <w:spacing w:after="0" w:line="600" w:lineRule="exact"/>
        <w:ind w:firstLine="640" w:firstLineChars="200"/>
        <w:rPr>
          <w:rFonts w:ascii="仿宋_GB2312" w:eastAsia="仿宋_GB2312"/>
          <w:sz w:val="32"/>
          <w:szCs w:val="32"/>
        </w:rPr>
      </w:pPr>
      <w:r>
        <w:rPr>
          <w:rFonts w:hint="eastAsia" w:ascii="仿宋" w:hAnsi="仿宋" w:eastAsia="仿宋" w:cs="仿宋"/>
          <w:sz w:val="32"/>
          <w:szCs w:val="32"/>
        </w:rPr>
        <w:t>第十六条 采购资料主要包括政府采购计划申报表、招标邀请函、招标书、标书、评审意见表、中标通知书、合同等。</w:t>
      </w:r>
    </w:p>
    <w:p>
      <w:pPr>
        <w:ind w:firstLine="440" w:firstLineChars="200"/>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color w:val="FF0000"/>
          <w:sz w:val="44"/>
          <w:szCs w:val="44"/>
        </w:rPr>
      </w:pPr>
      <w:bookmarkStart w:id="4" w:name="_Toc486522653"/>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公务接待管理</w:t>
      </w:r>
      <w:bookmarkEnd w:id="4"/>
      <w:r>
        <w:rPr>
          <w:rFonts w:hint="eastAsia" w:asciiTheme="majorEastAsia" w:hAnsiTheme="majorEastAsia" w:eastAsiaTheme="majorEastAsia"/>
          <w:b/>
          <w:color w:val="auto"/>
          <w:sz w:val="44"/>
          <w:szCs w:val="44"/>
        </w:rPr>
        <w:t>规定</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为全面执行中央“八项规定”精神，进一步规范我局公务接待管理工作，加强党风廉政建设，根据</w:t>
      </w:r>
      <w:r>
        <w:rPr>
          <w:rFonts w:hint="eastAsia" w:ascii="仿宋" w:hAnsi="仿宋" w:eastAsia="仿宋" w:cs="仿宋"/>
          <w:sz w:val="32"/>
          <w:szCs w:val="32"/>
          <w:lang w:val="en-US" w:eastAsia="zh-CN"/>
        </w:rPr>
        <w:t>县</w:t>
      </w:r>
      <w:r>
        <w:rPr>
          <w:rFonts w:hint="eastAsia" w:ascii="仿宋" w:hAnsi="仿宋" w:eastAsia="仿宋" w:cs="仿宋"/>
          <w:sz w:val="32"/>
          <w:szCs w:val="32"/>
        </w:rPr>
        <w:t>委办、</w:t>
      </w:r>
      <w:r>
        <w:rPr>
          <w:rFonts w:hint="eastAsia" w:ascii="仿宋" w:hAnsi="仿宋" w:eastAsia="仿宋" w:cs="仿宋"/>
          <w:sz w:val="32"/>
          <w:szCs w:val="32"/>
          <w:lang w:val="en-US" w:eastAsia="zh-CN"/>
        </w:rPr>
        <w:t>县</w:t>
      </w:r>
      <w:r>
        <w:rPr>
          <w:rFonts w:hint="eastAsia" w:ascii="仿宋" w:hAnsi="仿宋" w:eastAsia="仿宋" w:cs="仿宋"/>
          <w:sz w:val="32"/>
          <w:szCs w:val="32"/>
        </w:rPr>
        <w:t>府办《关于印发</w:t>
      </w:r>
      <w:r>
        <w:rPr>
          <w:rFonts w:hint="eastAsia" w:ascii="仿宋" w:hAnsi="仿宋" w:eastAsia="仿宋" w:cs="仿宋"/>
          <w:sz w:val="32"/>
          <w:szCs w:val="32"/>
          <w:lang w:val="en-US" w:eastAsia="zh-CN"/>
        </w:rPr>
        <w:t>丰顺县公务接待规定</w:t>
      </w:r>
      <w:r>
        <w:rPr>
          <w:rFonts w:hint="eastAsia" w:ascii="仿宋" w:hAnsi="仿宋" w:eastAsia="仿宋" w:cs="仿宋"/>
          <w:sz w:val="32"/>
          <w:szCs w:val="32"/>
        </w:rPr>
        <w:t>的通知》（</w:t>
      </w:r>
      <w:r>
        <w:rPr>
          <w:rFonts w:hint="eastAsia" w:ascii="仿宋" w:hAnsi="仿宋" w:eastAsia="仿宋" w:cs="仿宋"/>
          <w:sz w:val="32"/>
          <w:szCs w:val="32"/>
          <w:lang w:val="en-US" w:eastAsia="zh-CN"/>
        </w:rPr>
        <w:t>丰委办</w:t>
      </w:r>
      <w:r>
        <w:rPr>
          <w:rFonts w:hint="eastAsia" w:ascii="仿宋" w:hAnsi="仿宋" w:eastAsia="仿宋" w:cs="仿宋"/>
          <w:sz w:val="32"/>
          <w:szCs w:val="32"/>
        </w:rPr>
        <w:t>〔2015〕1号）等规定，特制定本规定。</w:t>
      </w:r>
    </w:p>
    <w:p>
      <w:pPr>
        <w:adjustRightInd/>
        <w:snapToGrid/>
        <w:spacing w:after="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一、严格接待范围。</w:t>
      </w:r>
      <w:r>
        <w:rPr>
          <w:rFonts w:hint="eastAsia" w:ascii="仿宋" w:hAnsi="仿宋" w:eastAsia="仿宋" w:cs="仿宋"/>
          <w:sz w:val="32"/>
          <w:szCs w:val="32"/>
        </w:rPr>
        <w:t>主要是指会议培训、考察调研、执行任务、学习交流、检查指导、请示汇报工作等公务活动。</w:t>
      </w:r>
    </w:p>
    <w:p>
      <w:pPr>
        <w:adjustRightInd/>
        <w:snapToGrid/>
        <w:spacing w:after="0" w:line="600" w:lineRule="exact"/>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二、严格接待原则。</w:t>
      </w:r>
      <w:r>
        <w:rPr>
          <w:rFonts w:hint="eastAsia" w:ascii="仿宋" w:hAnsi="仿宋" w:eastAsia="仿宋" w:cs="仿宋"/>
          <w:sz w:val="32"/>
          <w:szCs w:val="32"/>
        </w:rPr>
        <w:t>根据来客级别，实行对等接待。接待工作要严格报批，严格标准，切实做到周到、热情、节俭、实用，反对铺张浪费。公务接待实行公函制度，对无公函的公务活动和来访人员一律不予接待；应邀来访、出席公务活动的，其相关邀请函件经公务接待管理部门审批同意后，可以纳入接待范围。收到上级领导、嘉宾来</w:t>
      </w:r>
      <w:r>
        <w:rPr>
          <w:rFonts w:hint="eastAsia" w:ascii="仿宋" w:hAnsi="仿宋" w:eastAsia="仿宋" w:cs="仿宋"/>
          <w:sz w:val="32"/>
          <w:szCs w:val="32"/>
          <w:lang w:val="en-US" w:eastAsia="zh-CN"/>
        </w:rPr>
        <w:t>丰</w:t>
      </w:r>
      <w:r>
        <w:rPr>
          <w:rFonts w:hint="eastAsia" w:ascii="仿宋" w:hAnsi="仿宋" w:eastAsia="仿宋" w:cs="仿宋"/>
          <w:sz w:val="32"/>
          <w:szCs w:val="32"/>
        </w:rPr>
        <w:t>公务活动公函，应向</w:t>
      </w:r>
      <w:r>
        <w:rPr>
          <w:rFonts w:hint="eastAsia" w:ascii="仿宋" w:hAnsi="仿宋" w:eastAsia="仿宋" w:cs="仿宋"/>
          <w:sz w:val="32"/>
          <w:szCs w:val="32"/>
          <w:lang w:val="en-US" w:eastAsia="zh-CN"/>
        </w:rPr>
        <w:t>县</w:t>
      </w:r>
      <w:r>
        <w:rPr>
          <w:rFonts w:hint="eastAsia" w:ascii="仿宋" w:hAnsi="仿宋" w:eastAsia="仿宋" w:cs="仿宋"/>
          <w:sz w:val="32"/>
          <w:szCs w:val="32"/>
        </w:rPr>
        <w:t>委办、</w:t>
      </w:r>
      <w:r>
        <w:rPr>
          <w:rFonts w:hint="eastAsia" w:ascii="仿宋" w:hAnsi="仿宋" w:eastAsia="仿宋" w:cs="仿宋"/>
          <w:sz w:val="32"/>
          <w:szCs w:val="32"/>
          <w:lang w:val="en-US" w:eastAsia="zh-CN"/>
        </w:rPr>
        <w:t>县</w:t>
      </w:r>
      <w:r>
        <w:rPr>
          <w:rFonts w:hint="eastAsia" w:ascii="仿宋" w:hAnsi="仿宋" w:eastAsia="仿宋" w:cs="仿宋"/>
          <w:sz w:val="32"/>
          <w:szCs w:val="32"/>
        </w:rPr>
        <w:t>府办报告，按上级要求接待。</w:t>
      </w:r>
    </w:p>
    <w:p>
      <w:pPr>
        <w:spacing w:after="0" w:line="600" w:lineRule="exact"/>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三、严格执行食宿标准。</w:t>
      </w:r>
      <w:r>
        <w:rPr>
          <w:rFonts w:hint="eastAsia" w:ascii="仿宋" w:hAnsi="仿宋" w:eastAsia="仿宋" w:cs="仿宋"/>
          <w:sz w:val="32"/>
          <w:szCs w:val="32"/>
        </w:rPr>
        <w:t xml:space="preserve">接待住宿严格执行差旅、会议管理的有关规定，住宿用房以标准间为主，不得超标准安排接待住房。接待对象应当按照规定标准自行用餐。确因工作需要，接待单位可以安排工作餐一次，并严格控制陪餐人数，合理安排自助餐或者围餐。接待对象在10人以内的，陪餐人数不得超过3人；超过10人的，不得超过接待对象人数的三分之一。工作餐应当供应家常菜，不得提供鱼翅、燕窝等高档菜肴和野生保护动物制作的菜肴，不得提供香烟和高档酒水，不使用私人会所、高消费餐饮场所。            </w:t>
      </w:r>
    </w:p>
    <w:p>
      <w:pPr>
        <w:spacing w:after="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四、严格审批制度。</w:t>
      </w:r>
      <w:r>
        <w:rPr>
          <w:rFonts w:hint="eastAsia" w:ascii="仿宋" w:hAnsi="仿宋" w:eastAsia="仿宋" w:cs="仿宋"/>
          <w:sz w:val="32"/>
          <w:szCs w:val="32"/>
        </w:rPr>
        <w:t>局办公室统一管理公务接待工作，并承办具体接待事项。局办公室对符合规定的接待须填报《接待用餐审批表》，并经局领导审批后予以安排。</w:t>
      </w:r>
    </w:p>
    <w:p>
      <w:pPr>
        <w:adjustRightInd/>
        <w:snapToGrid/>
        <w:spacing w:after="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五、严格报账手续。</w:t>
      </w:r>
      <w:r>
        <w:rPr>
          <w:rFonts w:hint="eastAsia" w:ascii="仿宋" w:hAnsi="仿宋" w:eastAsia="仿宋" w:cs="仿宋"/>
          <w:sz w:val="32"/>
          <w:szCs w:val="32"/>
        </w:rPr>
        <w:t>公务接待费的报账手续按下列要求办理。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1、结帐方式：实行公务卡结算或银行转帐；</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2、报销凭证：财务票据（含公务卡消费小票）、接待对象公函、接待审批表、接待清单；</w:t>
      </w:r>
    </w:p>
    <w:p>
      <w:pPr>
        <w:adjustRightInd/>
        <w:snapToGrid/>
        <w:spacing w:after="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六、严格公务接待纪律。</w:t>
      </w:r>
      <w:r>
        <w:rPr>
          <w:rFonts w:hint="eastAsia" w:ascii="仿宋" w:hAnsi="仿宋" w:eastAsia="仿宋" w:cs="仿宋"/>
          <w:sz w:val="32"/>
          <w:szCs w:val="32"/>
        </w:rPr>
        <w:t>不得超标准接待，不得组织旅游和与公务活动无关的参观，不得组织到营业性娱乐、健身场所活动，不得安排专场文艺演出，不得以任何名义赠送礼金、纪念品和土特产品等。</w:t>
      </w:r>
    </w:p>
    <w:p>
      <w:pPr>
        <w:adjustRightInd/>
        <w:snapToGrid/>
        <w:spacing w:after="0" w:line="600" w:lineRule="exact"/>
        <w:ind w:firstLine="630"/>
        <w:rPr>
          <w:rFonts w:hint="eastAsia" w:ascii="仿宋" w:hAnsi="仿宋" w:eastAsia="仿宋" w:cs="仿宋"/>
          <w:sz w:val="32"/>
          <w:szCs w:val="32"/>
        </w:rPr>
      </w:pPr>
      <w:r>
        <w:rPr>
          <w:rFonts w:hint="eastAsia" w:ascii="仿宋" w:hAnsi="仿宋" w:eastAsia="仿宋" w:cs="仿宋"/>
          <w:sz w:val="32"/>
          <w:szCs w:val="32"/>
        </w:rPr>
        <w:t>附件：1.公务接待审批表</w:t>
      </w:r>
    </w:p>
    <w:p>
      <w:pPr>
        <w:adjustRightInd/>
        <w:snapToGrid/>
        <w:spacing w:after="0" w:line="600" w:lineRule="exact"/>
        <w:ind w:firstLine="1584" w:firstLineChars="495"/>
        <w:rPr>
          <w:rFonts w:hint="eastAsia" w:ascii="仿宋" w:hAnsi="仿宋" w:eastAsia="仿宋" w:cs="仿宋"/>
          <w:sz w:val="32"/>
          <w:szCs w:val="32"/>
        </w:rPr>
      </w:pPr>
      <w:r>
        <w:rPr>
          <w:rFonts w:hint="eastAsia" w:ascii="仿宋" w:hAnsi="仿宋" w:eastAsia="仿宋" w:cs="仿宋"/>
          <w:sz w:val="32"/>
          <w:szCs w:val="32"/>
        </w:rPr>
        <w:t>2.公务接待清单</w:t>
      </w: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hint="eastAsia" w:ascii="仿宋_GB2312" w:eastAsia="仿宋_GB2312"/>
          <w:sz w:val="32"/>
          <w:szCs w:val="32"/>
        </w:rPr>
      </w:pPr>
    </w:p>
    <w:p>
      <w:pPr>
        <w:adjustRightInd/>
        <w:snapToGrid/>
        <w:spacing w:after="0" w:line="600" w:lineRule="exact"/>
        <w:rPr>
          <w:rFonts w:hint="eastAsia" w:ascii="仿宋_GB2312" w:eastAsia="仿宋_GB2312"/>
          <w:sz w:val="32"/>
          <w:szCs w:val="32"/>
        </w:rPr>
      </w:pPr>
    </w:p>
    <w:p>
      <w:pPr>
        <w:adjustRightInd/>
        <w:snapToGrid/>
        <w:spacing w:after="0" w:line="600" w:lineRule="exact"/>
        <w:rPr>
          <w:rFonts w:ascii="仿宋_GB2312" w:eastAsia="仿宋_GB2312"/>
          <w:sz w:val="32"/>
          <w:szCs w:val="32"/>
        </w:rPr>
      </w:pPr>
      <w:r>
        <w:rPr>
          <w:rFonts w:hint="eastAsia" w:ascii="仿宋_GB2312" w:eastAsia="仿宋_GB2312"/>
          <w:sz w:val="32"/>
          <w:szCs w:val="32"/>
        </w:rPr>
        <w:t>附件1</w:t>
      </w: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公务接待审批表</w:t>
      </w: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880"/>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548" w:type="dxa"/>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接待对象</w:t>
            </w:r>
          </w:p>
        </w:tc>
        <w:tc>
          <w:tcPr>
            <w:tcW w:w="2880" w:type="dxa"/>
            <w:vAlign w:val="center"/>
          </w:tcPr>
          <w:p>
            <w:pPr>
              <w:adjustRightInd/>
              <w:snapToGrid/>
              <w:spacing w:after="0" w:line="600" w:lineRule="exact"/>
              <w:rPr>
                <w:rFonts w:ascii="仿宋_GB2312" w:eastAsia="仿宋_GB2312"/>
                <w:sz w:val="32"/>
                <w:szCs w:val="32"/>
              </w:rPr>
            </w:pPr>
          </w:p>
        </w:tc>
        <w:tc>
          <w:tcPr>
            <w:tcW w:w="1620" w:type="dxa"/>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用餐时间</w:t>
            </w:r>
          </w:p>
        </w:tc>
        <w:tc>
          <w:tcPr>
            <w:tcW w:w="3060" w:type="dxa"/>
            <w:vAlign w:val="center"/>
          </w:tcPr>
          <w:p>
            <w:pPr>
              <w:adjustRightInd/>
              <w:snapToGrid/>
              <w:spacing w:after="0"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548" w:type="dxa"/>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地   点</w:t>
            </w:r>
          </w:p>
        </w:tc>
        <w:tc>
          <w:tcPr>
            <w:tcW w:w="2880" w:type="dxa"/>
            <w:vAlign w:val="center"/>
          </w:tcPr>
          <w:p>
            <w:pPr>
              <w:adjustRightInd/>
              <w:snapToGrid/>
              <w:spacing w:after="0" w:line="600" w:lineRule="exact"/>
              <w:rPr>
                <w:rFonts w:ascii="仿宋_GB2312" w:eastAsia="仿宋_GB2312"/>
                <w:sz w:val="32"/>
                <w:szCs w:val="32"/>
              </w:rPr>
            </w:pPr>
          </w:p>
        </w:tc>
        <w:tc>
          <w:tcPr>
            <w:tcW w:w="1620" w:type="dxa"/>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用餐费用</w:t>
            </w:r>
          </w:p>
        </w:tc>
        <w:tc>
          <w:tcPr>
            <w:tcW w:w="3060" w:type="dxa"/>
            <w:vAlign w:val="center"/>
          </w:tcPr>
          <w:p>
            <w:pPr>
              <w:adjustRightInd/>
              <w:snapToGrid/>
              <w:spacing w:after="0"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548" w:type="dxa"/>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来宾人数</w:t>
            </w:r>
          </w:p>
        </w:tc>
        <w:tc>
          <w:tcPr>
            <w:tcW w:w="2880" w:type="dxa"/>
            <w:vAlign w:val="center"/>
          </w:tcPr>
          <w:p>
            <w:pPr>
              <w:adjustRightInd/>
              <w:snapToGrid/>
              <w:spacing w:after="0" w:line="600" w:lineRule="exact"/>
              <w:rPr>
                <w:rFonts w:ascii="仿宋_GB2312" w:eastAsia="仿宋_GB2312"/>
                <w:sz w:val="32"/>
                <w:szCs w:val="32"/>
              </w:rPr>
            </w:pPr>
          </w:p>
        </w:tc>
        <w:tc>
          <w:tcPr>
            <w:tcW w:w="1620" w:type="dxa"/>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陪同人数</w:t>
            </w:r>
          </w:p>
        </w:tc>
        <w:tc>
          <w:tcPr>
            <w:tcW w:w="3060" w:type="dxa"/>
            <w:vAlign w:val="center"/>
          </w:tcPr>
          <w:p>
            <w:pPr>
              <w:adjustRightInd/>
              <w:snapToGrid/>
              <w:spacing w:after="0"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1548" w:type="dxa"/>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带队来宾姓名职务</w:t>
            </w:r>
          </w:p>
        </w:tc>
        <w:tc>
          <w:tcPr>
            <w:tcW w:w="7560" w:type="dxa"/>
            <w:gridSpan w:val="3"/>
            <w:vAlign w:val="center"/>
          </w:tcPr>
          <w:p>
            <w:pPr>
              <w:adjustRightInd/>
              <w:snapToGrid/>
              <w:spacing w:after="0"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1548" w:type="dxa"/>
            <w:shd w:val="clear" w:color="auto" w:fill="auto"/>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事   由</w:t>
            </w:r>
          </w:p>
        </w:tc>
        <w:tc>
          <w:tcPr>
            <w:tcW w:w="7560" w:type="dxa"/>
            <w:gridSpan w:val="3"/>
            <w:vAlign w:val="center"/>
          </w:tcPr>
          <w:p>
            <w:pPr>
              <w:adjustRightInd/>
              <w:snapToGrid/>
              <w:spacing w:after="0"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1548" w:type="dxa"/>
            <w:shd w:val="clear" w:color="auto" w:fill="auto"/>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分管领导意   见</w:t>
            </w:r>
          </w:p>
        </w:tc>
        <w:tc>
          <w:tcPr>
            <w:tcW w:w="7560" w:type="dxa"/>
            <w:gridSpan w:val="3"/>
            <w:vAlign w:val="center"/>
          </w:tcPr>
          <w:p>
            <w:pPr>
              <w:adjustRightInd/>
              <w:snapToGrid/>
              <w:spacing w:after="0"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trPr>
        <w:tc>
          <w:tcPr>
            <w:tcW w:w="1548" w:type="dxa"/>
            <w:shd w:val="clear" w:color="auto" w:fill="auto"/>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主要领导意   见</w:t>
            </w:r>
          </w:p>
        </w:tc>
        <w:tc>
          <w:tcPr>
            <w:tcW w:w="7560" w:type="dxa"/>
            <w:gridSpan w:val="3"/>
            <w:vAlign w:val="center"/>
          </w:tcPr>
          <w:p>
            <w:pPr>
              <w:adjustRightInd/>
              <w:snapToGrid/>
              <w:spacing w:after="0"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1548" w:type="dxa"/>
            <w:vAlign w:val="center"/>
          </w:tcPr>
          <w:p>
            <w:pPr>
              <w:adjustRightInd/>
              <w:snapToGrid/>
              <w:spacing w:after="0" w:line="600" w:lineRule="exact"/>
              <w:rPr>
                <w:rFonts w:ascii="仿宋_GB2312" w:eastAsia="仿宋_GB2312"/>
                <w:sz w:val="32"/>
                <w:szCs w:val="32"/>
              </w:rPr>
            </w:pPr>
            <w:r>
              <w:rPr>
                <w:rFonts w:hint="eastAsia" w:ascii="仿宋_GB2312" w:eastAsia="仿宋_GB2312"/>
                <w:sz w:val="32"/>
                <w:szCs w:val="32"/>
              </w:rPr>
              <w:t>备   注</w:t>
            </w:r>
          </w:p>
        </w:tc>
        <w:tc>
          <w:tcPr>
            <w:tcW w:w="7560" w:type="dxa"/>
            <w:gridSpan w:val="3"/>
            <w:vAlign w:val="center"/>
          </w:tcPr>
          <w:p>
            <w:pPr>
              <w:adjustRightInd/>
              <w:snapToGrid/>
              <w:spacing w:after="0" w:line="600" w:lineRule="exact"/>
              <w:rPr>
                <w:rFonts w:ascii="仿宋_GB2312" w:eastAsia="仿宋_GB2312"/>
                <w:sz w:val="32"/>
                <w:szCs w:val="32"/>
              </w:rPr>
            </w:pPr>
          </w:p>
        </w:tc>
      </w:tr>
    </w:tbl>
    <w:p>
      <w:pPr>
        <w:adjustRightInd/>
        <w:snapToGrid/>
        <w:spacing w:after="0" w:line="600" w:lineRule="exact"/>
        <w:rPr>
          <w:rFonts w:ascii="仿宋_GB2312" w:eastAsia="仿宋_GB2312"/>
          <w:sz w:val="32"/>
          <w:szCs w:val="32"/>
        </w:rPr>
      </w:pPr>
      <w:r>
        <w:rPr>
          <w:rFonts w:hint="eastAsia" w:ascii="仿宋_GB2312" w:eastAsia="仿宋_GB2312"/>
          <w:sz w:val="32"/>
          <w:szCs w:val="32"/>
        </w:rPr>
        <w:t xml:space="preserve">经 办 人：           </w:t>
      </w: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r>
        <w:rPr>
          <w:rFonts w:hint="eastAsia" w:ascii="仿宋_GB2312" w:eastAsia="仿宋_GB2312"/>
          <w:sz w:val="32"/>
          <w:szCs w:val="32"/>
        </w:rPr>
        <w:t>附件2</w:t>
      </w:r>
    </w:p>
    <w:p>
      <w:pPr>
        <w:spacing w:line="58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公务接待清单</w:t>
      </w:r>
    </w:p>
    <w:tbl>
      <w:tblPr>
        <w:tblStyle w:val="11"/>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8"/>
        <w:gridCol w:w="66"/>
        <w:gridCol w:w="2454"/>
        <w:gridCol w:w="1222"/>
        <w:gridCol w:w="578"/>
        <w:gridCol w:w="2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2514" w:type="dxa"/>
            <w:gridSpan w:val="2"/>
            <w:tcBorders>
              <w:right w:val="single" w:color="auto" w:sz="4" w:space="0"/>
            </w:tcBorders>
          </w:tcPr>
          <w:p>
            <w:pPr>
              <w:spacing w:line="580" w:lineRule="exact"/>
              <w:rPr>
                <w:rFonts w:ascii="仿宋" w:hAnsi="仿宋" w:eastAsia="仿宋"/>
                <w:sz w:val="32"/>
                <w:szCs w:val="32"/>
              </w:rPr>
            </w:pPr>
            <w:r>
              <w:rPr>
                <w:rFonts w:hint="eastAsia" w:ascii="仿宋" w:hAnsi="仿宋" w:eastAsia="仿宋"/>
                <w:sz w:val="32"/>
                <w:szCs w:val="32"/>
              </w:rPr>
              <w:t>接待对象</w:t>
            </w:r>
          </w:p>
        </w:tc>
        <w:tc>
          <w:tcPr>
            <w:tcW w:w="6772" w:type="dxa"/>
            <w:gridSpan w:val="4"/>
          </w:tcPr>
          <w:p>
            <w:pPr>
              <w:spacing w:line="580" w:lineRule="exact"/>
              <w:ind w:firstLine="640" w:firstLineChars="200"/>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9" w:hRule="atLeast"/>
        </w:trPr>
        <w:tc>
          <w:tcPr>
            <w:tcW w:w="2514" w:type="dxa"/>
            <w:gridSpan w:val="2"/>
            <w:tcBorders>
              <w:right w:val="single" w:color="auto" w:sz="4" w:space="0"/>
            </w:tcBorders>
            <w:vAlign w:val="center"/>
          </w:tcPr>
          <w:p>
            <w:pPr>
              <w:spacing w:line="580" w:lineRule="exact"/>
              <w:rPr>
                <w:rFonts w:ascii="仿宋" w:hAnsi="仿宋" w:eastAsia="仿宋"/>
                <w:sz w:val="32"/>
                <w:szCs w:val="32"/>
              </w:rPr>
            </w:pPr>
            <w:r>
              <w:rPr>
                <w:rFonts w:hint="eastAsia" w:ascii="仿宋" w:hAnsi="仿宋" w:eastAsia="仿宋"/>
                <w:sz w:val="32"/>
                <w:szCs w:val="32"/>
              </w:rPr>
              <w:t>公务活动项目</w:t>
            </w:r>
          </w:p>
        </w:tc>
        <w:tc>
          <w:tcPr>
            <w:tcW w:w="6772" w:type="dxa"/>
            <w:gridSpan w:val="4"/>
            <w:tcBorders>
              <w:left w:val="single" w:color="auto" w:sz="4" w:space="0"/>
            </w:tcBorders>
          </w:tcPr>
          <w:p>
            <w:pPr>
              <w:spacing w:line="580" w:lineRule="exact"/>
              <w:ind w:firstLine="640" w:firstLineChars="200"/>
              <w:rPr>
                <w:rFonts w:ascii="仿宋" w:hAnsi="仿宋" w:eastAsia="仿宋"/>
                <w:color w:val="FF66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2514" w:type="dxa"/>
            <w:gridSpan w:val="2"/>
            <w:tcBorders>
              <w:right w:val="single" w:color="auto" w:sz="4" w:space="0"/>
            </w:tcBorders>
          </w:tcPr>
          <w:p>
            <w:pPr>
              <w:spacing w:line="580" w:lineRule="exact"/>
              <w:rPr>
                <w:rFonts w:ascii="仿宋" w:hAnsi="仿宋" w:eastAsia="仿宋"/>
                <w:sz w:val="32"/>
                <w:szCs w:val="32"/>
              </w:rPr>
            </w:pPr>
            <w:r>
              <w:rPr>
                <w:rFonts w:hint="eastAsia" w:ascii="仿宋" w:hAnsi="仿宋" w:eastAsia="仿宋"/>
                <w:sz w:val="32"/>
                <w:szCs w:val="32"/>
              </w:rPr>
              <w:t>来宾用餐人数</w:t>
            </w:r>
          </w:p>
        </w:tc>
        <w:tc>
          <w:tcPr>
            <w:tcW w:w="2454" w:type="dxa"/>
            <w:tcBorders>
              <w:left w:val="single" w:color="auto" w:sz="4" w:space="0"/>
              <w:right w:val="single" w:color="auto" w:sz="4" w:space="0"/>
            </w:tcBorders>
          </w:tcPr>
          <w:p>
            <w:pPr>
              <w:spacing w:line="580" w:lineRule="exact"/>
              <w:ind w:firstLine="640" w:firstLineChars="200"/>
              <w:rPr>
                <w:rFonts w:ascii="仿宋" w:hAnsi="仿宋" w:eastAsia="仿宋"/>
                <w:sz w:val="32"/>
                <w:szCs w:val="32"/>
              </w:rPr>
            </w:pPr>
          </w:p>
        </w:tc>
        <w:tc>
          <w:tcPr>
            <w:tcW w:w="1800" w:type="dxa"/>
            <w:gridSpan w:val="2"/>
            <w:tcBorders>
              <w:left w:val="single" w:color="auto" w:sz="4" w:space="0"/>
              <w:right w:val="single" w:color="auto" w:sz="4" w:space="0"/>
            </w:tcBorders>
          </w:tcPr>
          <w:p>
            <w:pPr>
              <w:spacing w:line="580" w:lineRule="exact"/>
              <w:rPr>
                <w:rFonts w:ascii="仿宋" w:hAnsi="仿宋" w:eastAsia="仿宋"/>
                <w:sz w:val="32"/>
                <w:szCs w:val="32"/>
              </w:rPr>
            </w:pPr>
            <w:r>
              <w:rPr>
                <w:rFonts w:hint="eastAsia" w:ascii="仿宋" w:hAnsi="仿宋" w:eastAsia="仿宋"/>
                <w:sz w:val="32"/>
                <w:szCs w:val="32"/>
              </w:rPr>
              <w:t>陪餐人数</w:t>
            </w:r>
          </w:p>
        </w:tc>
        <w:tc>
          <w:tcPr>
            <w:tcW w:w="2518" w:type="dxa"/>
            <w:tcBorders>
              <w:left w:val="single" w:color="auto" w:sz="4" w:space="0"/>
            </w:tcBorders>
          </w:tcPr>
          <w:p>
            <w:pPr>
              <w:spacing w:line="580" w:lineRule="exact"/>
              <w:ind w:firstLine="640" w:firstLineChars="200"/>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14" w:type="dxa"/>
            <w:gridSpan w:val="2"/>
            <w:tcBorders>
              <w:right w:val="single" w:color="auto" w:sz="4" w:space="0"/>
            </w:tcBorders>
          </w:tcPr>
          <w:p>
            <w:pPr>
              <w:spacing w:line="580" w:lineRule="exact"/>
              <w:ind w:firstLine="640" w:firstLineChars="200"/>
              <w:rPr>
                <w:rFonts w:ascii="仿宋" w:hAnsi="仿宋" w:eastAsia="仿宋"/>
                <w:sz w:val="32"/>
                <w:szCs w:val="32"/>
              </w:rPr>
            </w:pPr>
            <w:r>
              <w:rPr>
                <w:rFonts w:hint="eastAsia" w:ascii="仿宋" w:hAnsi="仿宋" w:eastAsia="仿宋"/>
                <w:sz w:val="32"/>
                <w:szCs w:val="32"/>
              </w:rPr>
              <w:t>用餐日期</w:t>
            </w:r>
          </w:p>
        </w:tc>
        <w:tc>
          <w:tcPr>
            <w:tcW w:w="2454" w:type="dxa"/>
            <w:tcBorders>
              <w:left w:val="single" w:color="auto" w:sz="4" w:space="0"/>
              <w:right w:val="single" w:color="auto" w:sz="4" w:space="0"/>
            </w:tcBorders>
          </w:tcPr>
          <w:p>
            <w:pPr>
              <w:spacing w:line="580" w:lineRule="exact"/>
              <w:ind w:firstLine="480" w:firstLineChars="150"/>
              <w:rPr>
                <w:rFonts w:ascii="仿宋" w:hAnsi="仿宋" w:eastAsia="仿宋"/>
                <w:sz w:val="32"/>
                <w:szCs w:val="32"/>
              </w:rPr>
            </w:pPr>
            <w:r>
              <w:rPr>
                <w:rFonts w:hint="eastAsia" w:ascii="仿宋" w:hAnsi="仿宋" w:eastAsia="仿宋"/>
                <w:sz w:val="32"/>
                <w:szCs w:val="32"/>
              </w:rPr>
              <w:t>年  月  日</w:t>
            </w:r>
          </w:p>
        </w:tc>
        <w:tc>
          <w:tcPr>
            <w:tcW w:w="1800" w:type="dxa"/>
            <w:gridSpan w:val="2"/>
            <w:tcBorders>
              <w:left w:val="single" w:color="auto" w:sz="4" w:space="0"/>
              <w:right w:val="single" w:color="auto" w:sz="4" w:space="0"/>
            </w:tcBorders>
          </w:tcPr>
          <w:p>
            <w:pPr>
              <w:spacing w:line="580" w:lineRule="exact"/>
              <w:ind w:firstLine="320" w:firstLineChars="100"/>
              <w:rPr>
                <w:rFonts w:ascii="仿宋" w:hAnsi="仿宋" w:eastAsia="仿宋"/>
                <w:sz w:val="32"/>
                <w:szCs w:val="32"/>
              </w:rPr>
            </w:pPr>
            <w:r>
              <w:rPr>
                <w:rFonts w:hint="eastAsia" w:ascii="仿宋" w:hAnsi="仿宋" w:eastAsia="仿宋"/>
                <w:sz w:val="32"/>
                <w:szCs w:val="32"/>
              </w:rPr>
              <w:t>餐次</w:t>
            </w:r>
          </w:p>
        </w:tc>
        <w:tc>
          <w:tcPr>
            <w:tcW w:w="2518" w:type="dxa"/>
            <w:tcBorders>
              <w:left w:val="single" w:color="auto" w:sz="4" w:space="0"/>
            </w:tcBorders>
          </w:tcPr>
          <w:p>
            <w:pPr>
              <w:spacing w:line="580" w:lineRule="exact"/>
              <w:rPr>
                <w:rFonts w:ascii="仿宋" w:hAnsi="仿宋" w:eastAsia="仿宋"/>
                <w:sz w:val="32"/>
                <w:szCs w:val="32"/>
              </w:rPr>
            </w:pPr>
            <w:r>
              <w:rPr>
                <w:rFonts w:hint="eastAsia" w:ascii="仿宋" w:hAnsi="仿宋" w:eastAsia="仿宋"/>
                <w:sz w:val="32"/>
                <w:szCs w:val="32"/>
              </w:rPr>
              <w:t>早□中□晚□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14" w:type="dxa"/>
            <w:gridSpan w:val="2"/>
            <w:tcBorders>
              <w:right w:val="single" w:color="auto" w:sz="4" w:space="0"/>
            </w:tcBorders>
          </w:tcPr>
          <w:p>
            <w:pPr>
              <w:spacing w:line="580" w:lineRule="exact"/>
              <w:ind w:firstLine="640" w:firstLineChars="200"/>
              <w:rPr>
                <w:rFonts w:ascii="仿宋" w:hAnsi="仿宋" w:eastAsia="仿宋"/>
                <w:sz w:val="32"/>
                <w:szCs w:val="32"/>
              </w:rPr>
            </w:pPr>
            <w:r>
              <w:rPr>
                <w:rFonts w:hint="eastAsia" w:ascii="仿宋" w:hAnsi="仿宋" w:eastAsia="仿宋"/>
                <w:sz w:val="32"/>
                <w:szCs w:val="32"/>
              </w:rPr>
              <w:t>费用</w:t>
            </w:r>
          </w:p>
        </w:tc>
        <w:tc>
          <w:tcPr>
            <w:tcW w:w="6772" w:type="dxa"/>
            <w:gridSpan w:val="4"/>
            <w:tcBorders>
              <w:left w:val="single" w:color="auto" w:sz="4" w:space="0"/>
            </w:tcBorders>
          </w:tcPr>
          <w:p>
            <w:pPr>
              <w:spacing w:line="580" w:lineRule="exact"/>
              <w:ind w:firstLine="640" w:firstLineChars="200"/>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14" w:type="dxa"/>
            <w:gridSpan w:val="2"/>
            <w:tcBorders>
              <w:right w:val="single" w:color="auto" w:sz="4" w:space="0"/>
            </w:tcBorders>
          </w:tcPr>
          <w:p>
            <w:pPr>
              <w:spacing w:line="580" w:lineRule="exact"/>
              <w:ind w:firstLine="640" w:firstLineChars="200"/>
              <w:rPr>
                <w:rFonts w:ascii="仿宋" w:hAnsi="仿宋" w:eastAsia="仿宋"/>
                <w:sz w:val="32"/>
                <w:szCs w:val="32"/>
              </w:rPr>
            </w:pPr>
            <w:r>
              <w:rPr>
                <w:rFonts w:hint="eastAsia" w:ascii="仿宋" w:hAnsi="仿宋" w:eastAsia="仿宋"/>
                <w:sz w:val="32"/>
                <w:szCs w:val="32"/>
              </w:rPr>
              <w:t>用餐地点</w:t>
            </w:r>
          </w:p>
        </w:tc>
        <w:tc>
          <w:tcPr>
            <w:tcW w:w="6772" w:type="dxa"/>
            <w:gridSpan w:val="4"/>
            <w:tcBorders>
              <w:left w:val="single" w:color="auto" w:sz="4" w:space="0"/>
            </w:tcBorders>
          </w:tcPr>
          <w:p>
            <w:pPr>
              <w:spacing w:line="580" w:lineRule="exact"/>
              <w:ind w:firstLine="640" w:firstLineChars="200"/>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86" w:type="dxa"/>
            <w:gridSpan w:val="6"/>
          </w:tcPr>
          <w:p>
            <w:pPr>
              <w:spacing w:line="580" w:lineRule="exact"/>
              <w:rPr>
                <w:rFonts w:ascii="仿宋" w:hAnsi="仿宋" w:eastAsia="仿宋"/>
                <w:sz w:val="32"/>
                <w:szCs w:val="32"/>
              </w:rPr>
            </w:pPr>
            <w:r>
              <w:rPr>
                <w:rFonts w:hint="eastAsia" w:ascii="仿宋" w:hAnsi="仿宋" w:eastAsia="仿宋"/>
                <w:sz w:val="32"/>
                <w:szCs w:val="32"/>
              </w:rPr>
              <w:t>经办人：                 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9286" w:type="dxa"/>
            <w:gridSpan w:val="6"/>
          </w:tcPr>
          <w:p>
            <w:pPr>
              <w:spacing w:line="580" w:lineRule="exact"/>
              <w:ind w:firstLine="2409" w:firstLineChars="750"/>
              <w:rPr>
                <w:rFonts w:ascii="仿宋" w:hAnsi="仿宋" w:eastAsia="仿宋"/>
                <w:b/>
                <w:sz w:val="32"/>
                <w:szCs w:val="32"/>
              </w:rPr>
            </w:pPr>
            <w:r>
              <w:rPr>
                <w:rFonts w:hint="eastAsia" w:ascii="仿宋" w:hAnsi="仿宋" w:eastAsia="仿宋"/>
                <w:b/>
                <w:sz w:val="32"/>
                <w:szCs w:val="32"/>
              </w:rPr>
              <w:t>来宾人员、陪餐人员名单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2448" w:type="dxa"/>
          </w:tcPr>
          <w:p>
            <w:pPr>
              <w:spacing w:line="580" w:lineRule="exact"/>
              <w:ind w:firstLine="640" w:firstLineChars="200"/>
              <w:rPr>
                <w:rFonts w:ascii="仿宋" w:hAnsi="仿宋" w:eastAsia="仿宋"/>
                <w:sz w:val="32"/>
                <w:szCs w:val="32"/>
              </w:rPr>
            </w:pPr>
            <w:r>
              <w:rPr>
                <w:rFonts w:hint="eastAsia" w:ascii="仿宋" w:hAnsi="仿宋" w:eastAsia="仿宋"/>
                <w:sz w:val="32"/>
                <w:szCs w:val="32"/>
              </w:rPr>
              <w:t>姓名</w:t>
            </w:r>
          </w:p>
        </w:tc>
        <w:tc>
          <w:tcPr>
            <w:tcW w:w="3742" w:type="dxa"/>
            <w:gridSpan w:val="3"/>
          </w:tcPr>
          <w:p>
            <w:pPr>
              <w:spacing w:line="580" w:lineRule="exact"/>
              <w:ind w:firstLine="1120" w:firstLineChars="350"/>
              <w:rPr>
                <w:rFonts w:ascii="仿宋" w:hAnsi="仿宋" w:eastAsia="仿宋"/>
                <w:sz w:val="32"/>
                <w:szCs w:val="32"/>
              </w:rPr>
            </w:pPr>
            <w:r>
              <w:rPr>
                <w:rFonts w:hint="eastAsia" w:ascii="仿宋" w:hAnsi="仿宋" w:eastAsia="仿宋"/>
                <w:sz w:val="32"/>
                <w:szCs w:val="32"/>
              </w:rPr>
              <w:t>工作单位</w:t>
            </w:r>
          </w:p>
        </w:tc>
        <w:tc>
          <w:tcPr>
            <w:tcW w:w="3096" w:type="dxa"/>
            <w:gridSpan w:val="2"/>
          </w:tcPr>
          <w:p>
            <w:pPr>
              <w:spacing w:line="580" w:lineRule="exact"/>
              <w:ind w:firstLine="640" w:firstLineChars="200"/>
              <w:rPr>
                <w:rFonts w:ascii="仿宋" w:hAnsi="仿宋" w:eastAsia="仿宋"/>
                <w:sz w:val="32"/>
                <w:szCs w:val="32"/>
              </w:rPr>
            </w:pPr>
            <w:r>
              <w:rPr>
                <w:rFonts w:hint="eastAsia" w:ascii="仿宋" w:hAnsi="仿宋" w:eastAsia="仿宋"/>
                <w:sz w:val="32"/>
                <w:szCs w:val="32"/>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2448" w:type="dxa"/>
          </w:tcPr>
          <w:p>
            <w:pPr>
              <w:spacing w:line="580" w:lineRule="exact"/>
              <w:ind w:firstLine="640" w:firstLineChars="200"/>
              <w:rPr>
                <w:rFonts w:ascii="仿宋" w:hAnsi="仿宋" w:eastAsia="仿宋"/>
                <w:sz w:val="32"/>
                <w:szCs w:val="32"/>
              </w:rPr>
            </w:pPr>
          </w:p>
        </w:tc>
        <w:tc>
          <w:tcPr>
            <w:tcW w:w="3742" w:type="dxa"/>
            <w:gridSpan w:val="3"/>
          </w:tcPr>
          <w:p>
            <w:pPr>
              <w:spacing w:line="580" w:lineRule="exact"/>
              <w:ind w:firstLine="640" w:firstLineChars="200"/>
              <w:rPr>
                <w:rFonts w:ascii="仿宋" w:hAnsi="仿宋" w:eastAsia="仿宋"/>
                <w:sz w:val="32"/>
                <w:szCs w:val="32"/>
              </w:rPr>
            </w:pPr>
          </w:p>
        </w:tc>
        <w:tc>
          <w:tcPr>
            <w:tcW w:w="3096" w:type="dxa"/>
            <w:gridSpan w:val="2"/>
          </w:tcPr>
          <w:p>
            <w:pPr>
              <w:spacing w:line="580" w:lineRule="exact"/>
              <w:ind w:firstLine="640" w:firstLineChars="200"/>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2448" w:type="dxa"/>
          </w:tcPr>
          <w:p>
            <w:pPr>
              <w:spacing w:line="580" w:lineRule="exact"/>
              <w:ind w:firstLine="640" w:firstLineChars="200"/>
              <w:rPr>
                <w:rFonts w:ascii="仿宋" w:hAnsi="仿宋" w:eastAsia="仿宋"/>
                <w:sz w:val="32"/>
                <w:szCs w:val="32"/>
              </w:rPr>
            </w:pPr>
          </w:p>
        </w:tc>
        <w:tc>
          <w:tcPr>
            <w:tcW w:w="3742" w:type="dxa"/>
            <w:gridSpan w:val="3"/>
          </w:tcPr>
          <w:p>
            <w:pPr>
              <w:spacing w:line="580" w:lineRule="exact"/>
              <w:ind w:firstLine="640" w:firstLineChars="200"/>
              <w:rPr>
                <w:rFonts w:ascii="仿宋" w:hAnsi="仿宋" w:eastAsia="仿宋"/>
                <w:sz w:val="32"/>
                <w:szCs w:val="32"/>
              </w:rPr>
            </w:pPr>
          </w:p>
        </w:tc>
        <w:tc>
          <w:tcPr>
            <w:tcW w:w="3096" w:type="dxa"/>
            <w:gridSpan w:val="2"/>
          </w:tcPr>
          <w:p>
            <w:pPr>
              <w:spacing w:line="580" w:lineRule="exact"/>
              <w:ind w:firstLine="640" w:firstLineChars="200"/>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2448" w:type="dxa"/>
          </w:tcPr>
          <w:p>
            <w:pPr>
              <w:spacing w:line="580" w:lineRule="exact"/>
              <w:ind w:firstLine="640" w:firstLineChars="200"/>
              <w:rPr>
                <w:rFonts w:ascii="仿宋" w:hAnsi="仿宋" w:eastAsia="仿宋"/>
                <w:sz w:val="32"/>
                <w:szCs w:val="32"/>
              </w:rPr>
            </w:pPr>
          </w:p>
        </w:tc>
        <w:tc>
          <w:tcPr>
            <w:tcW w:w="3742" w:type="dxa"/>
            <w:gridSpan w:val="3"/>
          </w:tcPr>
          <w:p>
            <w:pPr>
              <w:spacing w:line="580" w:lineRule="exact"/>
              <w:ind w:firstLine="640" w:firstLineChars="200"/>
              <w:rPr>
                <w:rFonts w:ascii="仿宋" w:hAnsi="仿宋" w:eastAsia="仿宋"/>
                <w:sz w:val="32"/>
                <w:szCs w:val="32"/>
              </w:rPr>
            </w:pPr>
          </w:p>
        </w:tc>
        <w:tc>
          <w:tcPr>
            <w:tcW w:w="3096" w:type="dxa"/>
            <w:gridSpan w:val="2"/>
          </w:tcPr>
          <w:p>
            <w:pPr>
              <w:spacing w:line="580" w:lineRule="exact"/>
              <w:ind w:firstLine="640" w:firstLineChars="200"/>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2448" w:type="dxa"/>
          </w:tcPr>
          <w:p>
            <w:pPr>
              <w:spacing w:line="580" w:lineRule="exact"/>
              <w:ind w:firstLine="640" w:firstLineChars="200"/>
              <w:rPr>
                <w:rFonts w:ascii="仿宋" w:hAnsi="仿宋" w:eastAsia="仿宋"/>
                <w:sz w:val="32"/>
                <w:szCs w:val="32"/>
              </w:rPr>
            </w:pPr>
          </w:p>
        </w:tc>
        <w:tc>
          <w:tcPr>
            <w:tcW w:w="3742" w:type="dxa"/>
            <w:gridSpan w:val="3"/>
          </w:tcPr>
          <w:p>
            <w:pPr>
              <w:spacing w:line="580" w:lineRule="exact"/>
              <w:ind w:firstLine="640" w:firstLineChars="200"/>
              <w:rPr>
                <w:rFonts w:ascii="仿宋" w:hAnsi="仿宋" w:eastAsia="仿宋"/>
                <w:sz w:val="32"/>
                <w:szCs w:val="32"/>
              </w:rPr>
            </w:pPr>
          </w:p>
        </w:tc>
        <w:tc>
          <w:tcPr>
            <w:tcW w:w="3096" w:type="dxa"/>
            <w:gridSpan w:val="2"/>
          </w:tcPr>
          <w:p>
            <w:pPr>
              <w:spacing w:line="580" w:lineRule="exact"/>
              <w:ind w:firstLine="640" w:firstLineChars="200"/>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2448" w:type="dxa"/>
          </w:tcPr>
          <w:p>
            <w:pPr>
              <w:spacing w:line="580" w:lineRule="exact"/>
              <w:ind w:firstLine="640" w:firstLineChars="200"/>
              <w:rPr>
                <w:rFonts w:ascii="仿宋" w:hAnsi="仿宋" w:eastAsia="仿宋"/>
                <w:sz w:val="32"/>
                <w:szCs w:val="32"/>
              </w:rPr>
            </w:pPr>
          </w:p>
        </w:tc>
        <w:tc>
          <w:tcPr>
            <w:tcW w:w="3742" w:type="dxa"/>
            <w:gridSpan w:val="3"/>
          </w:tcPr>
          <w:p>
            <w:pPr>
              <w:spacing w:line="580" w:lineRule="exact"/>
              <w:ind w:firstLine="640" w:firstLineChars="200"/>
              <w:rPr>
                <w:rFonts w:ascii="仿宋" w:hAnsi="仿宋" w:eastAsia="仿宋"/>
                <w:sz w:val="32"/>
                <w:szCs w:val="32"/>
              </w:rPr>
            </w:pPr>
          </w:p>
        </w:tc>
        <w:tc>
          <w:tcPr>
            <w:tcW w:w="3096" w:type="dxa"/>
            <w:gridSpan w:val="2"/>
          </w:tcPr>
          <w:p>
            <w:pPr>
              <w:spacing w:line="580" w:lineRule="exact"/>
              <w:ind w:firstLine="640" w:firstLineChars="200"/>
              <w:rPr>
                <w:rFonts w:ascii="仿宋" w:hAnsi="仿宋" w:eastAsia="仿宋"/>
                <w:sz w:val="32"/>
                <w:szCs w:val="32"/>
              </w:rPr>
            </w:pPr>
          </w:p>
        </w:tc>
      </w:tr>
    </w:tbl>
    <w:p>
      <w:pPr>
        <w:adjustRightInd/>
        <w:snapToGrid/>
        <w:spacing w:after="0" w:line="600" w:lineRule="exact"/>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差旅费管理规定</w:t>
      </w:r>
    </w:p>
    <w:p>
      <w:pPr>
        <w:adjustRightInd/>
        <w:snapToGrid/>
        <w:spacing w:after="0" w:line="600" w:lineRule="exact"/>
        <w:jc w:val="both"/>
        <w:rPr>
          <w:rFonts w:ascii="仿宋_GB2312" w:eastAsia="仿宋_GB2312"/>
          <w:sz w:val="32"/>
          <w:szCs w:val="32"/>
        </w:rPr>
      </w:pPr>
      <w:r>
        <w:rPr>
          <w:rFonts w:hint="eastAsia" w:ascii="仿宋_GB2312" w:eastAsia="仿宋_GB2312"/>
          <w:sz w:val="32"/>
          <w:szCs w:val="32"/>
        </w:rPr>
        <w:t xml:space="preserve">    </w:t>
      </w:r>
    </w:p>
    <w:p>
      <w:pPr>
        <w:adjustRightInd/>
        <w:snapToGrid/>
        <w:spacing w:after="0" w:line="600" w:lineRule="exact"/>
        <w:jc w:val="both"/>
        <w:rPr>
          <w:rFonts w:hint="eastAsia" w:ascii="仿宋" w:hAnsi="仿宋" w:eastAsia="仿宋" w:cs="仿宋"/>
          <w:sz w:val="32"/>
          <w:szCs w:val="32"/>
        </w:rPr>
      </w:pPr>
      <w:r>
        <w:rPr>
          <w:rFonts w:hint="eastAsia" w:ascii="仿宋_GB2312" w:eastAsia="仿宋_GB2312"/>
          <w:sz w:val="32"/>
          <w:szCs w:val="32"/>
        </w:rPr>
        <w:t xml:space="preserve">    </w:t>
      </w:r>
      <w:r>
        <w:rPr>
          <w:rFonts w:hint="eastAsia" w:ascii="仿宋" w:hAnsi="仿宋" w:eastAsia="仿宋" w:cs="仿宋"/>
          <w:sz w:val="32"/>
          <w:szCs w:val="32"/>
        </w:rPr>
        <w:t>为加强机关差旅费管理，厉行节约，根据</w:t>
      </w:r>
      <w:r>
        <w:rPr>
          <w:rFonts w:hint="eastAsia" w:ascii="仿宋" w:hAnsi="仿宋" w:eastAsia="仿宋" w:cs="仿宋"/>
          <w:sz w:val="32"/>
          <w:szCs w:val="32"/>
          <w:lang w:val="en-US" w:eastAsia="zh-CN"/>
        </w:rPr>
        <w:t>县委办、县府办</w:t>
      </w:r>
      <w:r>
        <w:rPr>
          <w:rFonts w:hint="eastAsia" w:ascii="仿宋" w:hAnsi="仿宋" w:eastAsia="仿宋" w:cs="仿宋"/>
          <w:sz w:val="32"/>
          <w:szCs w:val="32"/>
        </w:rPr>
        <w:t>《</w:t>
      </w:r>
      <w:r>
        <w:rPr>
          <w:rFonts w:hint="eastAsia" w:ascii="仿宋" w:hAnsi="仿宋" w:eastAsia="仿宋" w:cs="仿宋"/>
          <w:sz w:val="32"/>
          <w:szCs w:val="32"/>
          <w:lang w:val="en-US" w:eastAsia="zh-CN"/>
        </w:rPr>
        <w:t>丰顺县县</w:t>
      </w:r>
      <w:r>
        <w:rPr>
          <w:rFonts w:hint="eastAsia" w:ascii="仿宋" w:hAnsi="仿宋" w:eastAsia="仿宋" w:cs="仿宋"/>
          <w:sz w:val="32"/>
          <w:szCs w:val="32"/>
        </w:rPr>
        <w:t>直党政机关和事业单位差旅费管理办法&gt;的通知》（</w:t>
      </w:r>
      <w:r>
        <w:rPr>
          <w:rFonts w:hint="eastAsia" w:ascii="仿宋" w:hAnsi="仿宋" w:eastAsia="仿宋" w:cs="仿宋"/>
          <w:sz w:val="32"/>
          <w:szCs w:val="32"/>
          <w:lang w:val="en-US" w:eastAsia="zh-CN"/>
        </w:rPr>
        <w:t>丰委办</w:t>
      </w:r>
      <w:r>
        <w:rPr>
          <w:rFonts w:hint="eastAsia" w:ascii="仿宋" w:hAnsi="仿宋" w:eastAsia="仿宋" w:cs="仿宋"/>
          <w:sz w:val="32"/>
          <w:szCs w:val="32"/>
        </w:rPr>
        <w:t>〔2014〕</w:t>
      </w:r>
      <w:r>
        <w:rPr>
          <w:rFonts w:hint="eastAsia" w:ascii="仿宋" w:hAnsi="仿宋" w:eastAsia="仿宋" w:cs="仿宋"/>
          <w:sz w:val="32"/>
          <w:szCs w:val="32"/>
          <w:lang w:val="en-US" w:eastAsia="zh-CN"/>
        </w:rPr>
        <w:t>55</w:t>
      </w:r>
      <w:r>
        <w:rPr>
          <w:rFonts w:hint="eastAsia" w:ascii="仿宋" w:hAnsi="仿宋" w:eastAsia="仿宋" w:cs="仿宋"/>
          <w:sz w:val="32"/>
          <w:szCs w:val="32"/>
        </w:rPr>
        <w:t>号）、《关于调整</w:t>
      </w:r>
      <w:r>
        <w:rPr>
          <w:rFonts w:hint="eastAsia" w:ascii="仿宋" w:hAnsi="仿宋" w:eastAsia="仿宋" w:cs="仿宋"/>
          <w:sz w:val="32"/>
          <w:szCs w:val="32"/>
          <w:lang w:val="en-US" w:eastAsia="zh-CN"/>
        </w:rPr>
        <w:t>丰顺县县</w:t>
      </w:r>
      <w:r>
        <w:rPr>
          <w:rFonts w:hint="eastAsia" w:ascii="仿宋" w:hAnsi="仿宋" w:eastAsia="仿宋" w:cs="仿宋"/>
          <w:sz w:val="32"/>
          <w:szCs w:val="32"/>
        </w:rPr>
        <w:t>直党政机关和事业单位差旅费有关标准的通知》（</w:t>
      </w:r>
      <w:r>
        <w:rPr>
          <w:rFonts w:hint="eastAsia" w:ascii="仿宋" w:hAnsi="仿宋" w:eastAsia="仿宋" w:cs="仿宋"/>
          <w:sz w:val="32"/>
          <w:szCs w:val="32"/>
          <w:lang w:val="en-US" w:eastAsia="zh-CN"/>
        </w:rPr>
        <w:t>丰委办</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41</w:t>
      </w:r>
      <w:r>
        <w:rPr>
          <w:rFonts w:hint="eastAsia" w:ascii="仿宋" w:hAnsi="仿宋" w:eastAsia="仿宋" w:cs="仿宋"/>
          <w:sz w:val="32"/>
          <w:szCs w:val="32"/>
        </w:rPr>
        <w:t>号）、《关于调整</w:t>
      </w:r>
      <w:r>
        <w:rPr>
          <w:rFonts w:hint="eastAsia" w:ascii="仿宋" w:hAnsi="仿宋" w:eastAsia="仿宋" w:cs="仿宋"/>
          <w:sz w:val="32"/>
          <w:szCs w:val="32"/>
          <w:lang w:val="en-US" w:eastAsia="zh-CN"/>
        </w:rPr>
        <w:t>丰顺县县</w:t>
      </w:r>
      <w:r>
        <w:rPr>
          <w:rFonts w:hint="eastAsia" w:ascii="仿宋" w:hAnsi="仿宋" w:eastAsia="仿宋" w:cs="仿宋"/>
          <w:sz w:val="32"/>
          <w:szCs w:val="32"/>
        </w:rPr>
        <w:t>直党政机关和事业单位人员误餐补助等开支标准的通知》（</w:t>
      </w:r>
      <w:r>
        <w:rPr>
          <w:rFonts w:hint="eastAsia" w:ascii="仿宋" w:hAnsi="仿宋" w:eastAsia="仿宋" w:cs="仿宋"/>
          <w:sz w:val="32"/>
          <w:szCs w:val="32"/>
          <w:lang w:val="en-US" w:eastAsia="zh-CN"/>
        </w:rPr>
        <w:t>丰委办</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42</w:t>
      </w:r>
      <w:r>
        <w:rPr>
          <w:rFonts w:hint="eastAsia" w:ascii="仿宋" w:hAnsi="仿宋" w:eastAsia="仿宋" w:cs="仿宋"/>
          <w:sz w:val="32"/>
          <w:szCs w:val="32"/>
        </w:rPr>
        <w:t>号）</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关于县直党政机关和事业单位差旅费管理问题的补充通知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丰委办</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43</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，特制定本规定。</w:t>
      </w:r>
    </w:p>
    <w:p>
      <w:pPr>
        <w:adjustRightInd/>
        <w:snapToGrid/>
        <w:spacing w:after="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一、公务出差界定。</w:t>
      </w:r>
      <w:r>
        <w:rPr>
          <w:rFonts w:hint="eastAsia" w:ascii="仿宋" w:hAnsi="仿宋" w:eastAsia="仿宋" w:cs="仿宋"/>
          <w:sz w:val="32"/>
          <w:szCs w:val="32"/>
        </w:rPr>
        <w:t>全局干部职工由于工作需要，经局领导同意或根据上级主管部门安排到行政区域外办事、培训、开会等的公务活动。</w:t>
      </w:r>
    </w:p>
    <w:p>
      <w:pPr>
        <w:adjustRightInd/>
        <w:snapToGrid/>
        <w:spacing w:after="0" w:line="600" w:lineRule="exact"/>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二、加强出差管理。</w:t>
      </w:r>
      <w:r>
        <w:rPr>
          <w:rFonts w:hint="eastAsia" w:ascii="仿宋" w:hAnsi="仿宋" w:eastAsia="仿宋" w:cs="仿宋"/>
          <w:sz w:val="32"/>
          <w:szCs w:val="32"/>
        </w:rPr>
        <w:t>1、出差（含</w:t>
      </w:r>
      <w:r>
        <w:rPr>
          <w:rFonts w:hint="eastAsia" w:ascii="仿宋" w:hAnsi="仿宋" w:eastAsia="仿宋" w:cs="仿宋"/>
          <w:sz w:val="32"/>
          <w:szCs w:val="32"/>
          <w:lang w:val="en-US" w:eastAsia="zh-CN"/>
        </w:rPr>
        <w:t>县</w:t>
      </w:r>
      <w:r>
        <w:rPr>
          <w:rFonts w:hint="eastAsia" w:ascii="仿宋" w:hAnsi="仿宋" w:eastAsia="仿宋" w:cs="仿宋"/>
          <w:sz w:val="32"/>
          <w:szCs w:val="32"/>
        </w:rPr>
        <w:t>内开展公务活动、有会议培训通知等文件依据的</w:t>
      </w:r>
      <w:r>
        <w:rPr>
          <w:rFonts w:hint="eastAsia" w:ascii="仿宋" w:hAnsi="仿宋" w:eastAsia="仿宋" w:cs="仿宋"/>
          <w:sz w:val="32"/>
          <w:szCs w:val="32"/>
          <w:lang w:val="en-US" w:eastAsia="zh-CN"/>
        </w:rPr>
        <w:t>县</w:t>
      </w:r>
      <w:r>
        <w:rPr>
          <w:rFonts w:hint="eastAsia" w:ascii="仿宋" w:hAnsi="仿宋" w:eastAsia="仿宋" w:cs="仿宋"/>
          <w:sz w:val="32"/>
          <w:szCs w:val="32"/>
        </w:rPr>
        <w:t>外出差）前须填写《出差审批单》（见附件）。局长出差，应向</w:t>
      </w:r>
      <w:r>
        <w:rPr>
          <w:rFonts w:hint="eastAsia" w:ascii="仿宋" w:hAnsi="仿宋" w:eastAsia="仿宋" w:cs="仿宋"/>
          <w:sz w:val="32"/>
          <w:szCs w:val="32"/>
          <w:lang w:val="en-US" w:eastAsia="zh-CN"/>
        </w:rPr>
        <w:t>县</w:t>
      </w:r>
      <w:r>
        <w:rPr>
          <w:rFonts w:hint="eastAsia" w:ascii="仿宋" w:hAnsi="仿宋" w:eastAsia="仿宋" w:cs="仿宋"/>
          <w:sz w:val="32"/>
          <w:szCs w:val="32"/>
        </w:rPr>
        <w:t>政府报告《</w:t>
      </w:r>
      <w:r>
        <w:rPr>
          <w:rFonts w:hint="eastAsia" w:ascii="仿宋" w:hAnsi="仿宋" w:eastAsia="仿宋" w:cs="仿宋"/>
          <w:sz w:val="32"/>
          <w:szCs w:val="32"/>
          <w:lang w:val="en-US" w:eastAsia="zh-CN"/>
        </w:rPr>
        <w:t>丰顺县</w:t>
      </w:r>
      <w:r>
        <w:rPr>
          <w:rFonts w:hint="eastAsia" w:ascii="仿宋" w:hAnsi="仿宋" w:eastAsia="仿宋" w:cs="仿宋"/>
          <w:sz w:val="32"/>
          <w:szCs w:val="32"/>
        </w:rPr>
        <w:t>领导干部外出请假</w:t>
      </w:r>
      <w:r>
        <w:rPr>
          <w:rFonts w:hint="eastAsia" w:ascii="仿宋" w:hAnsi="仿宋" w:eastAsia="仿宋" w:cs="仿宋"/>
          <w:sz w:val="32"/>
          <w:szCs w:val="32"/>
          <w:lang w:val="en-US" w:eastAsia="zh-CN"/>
        </w:rPr>
        <w:t>审批</w:t>
      </w:r>
      <w:r>
        <w:rPr>
          <w:rFonts w:hint="eastAsia" w:ascii="仿宋" w:hAnsi="仿宋" w:eastAsia="仿宋" w:cs="仿宋"/>
          <w:sz w:val="32"/>
          <w:szCs w:val="32"/>
        </w:rPr>
        <w:t>表》并经审批同意；</w:t>
      </w:r>
      <w:r>
        <w:rPr>
          <w:rFonts w:hint="eastAsia" w:ascii="仿宋" w:hAnsi="仿宋" w:eastAsia="仿宋" w:cs="仿宋"/>
          <w:sz w:val="32"/>
          <w:szCs w:val="32"/>
          <w:lang w:val="en-US" w:eastAsia="zh-CN"/>
        </w:rPr>
        <w:t>副局长</w:t>
      </w:r>
      <w:r>
        <w:rPr>
          <w:rFonts w:hint="eastAsia" w:ascii="仿宋" w:hAnsi="仿宋" w:eastAsia="仿宋" w:cs="仿宋"/>
          <w:sz w:val="32"/>
          <w:szCs w:val="32"/>
        </w:rPr>
        <w:t>出差由局长审批；其他人员出差由分管局领导审批。到外省的，须由分管局领导会签、局长审批；出差预计超出时间的，须向分管局领导报告，并在《出差审批单》说明情况。严禁无实质内容、无明确公务目的的差旅活动。2、科级及以下人员原则上不乘坐飞机，因出差旅途较远或出差任务急需乘坐飞机要从严控制，需经本单位领导批准方可乘坐飞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乘坐交通工具的规定等级如下:</w:t>
      </w:r>
    </w:p>
    <w:tbl>
      <w:tblPr>
        <w:tblStyle w:val="12"/>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880"/>
        <w:gridCol w:w="1548"/>
        <w:gridCol w:w="1071"/>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980" w:type="dxa"/>
            <w:tcBorders>
              <w:tl2br w:val="single" w:color="auto" w:sz="4" w:space="0"/>
            </w:tcBorders>
          </w:tcPr>
          <w:p>
            <w:pPr>
              <w:spacing w:after="0" w:line="600" w:lineRule="exact"/>
              <w:ind w:firstLine="560" w:firstLineChars="200"/>
              <w:rPr>
                <w:rFonts w:asciiTheme="minorEastAsia" w:hAnsiTheme="minorEastAsia" w:eastAsiaTheme="minorEastAsia"/>
                <w:kern w:val="2"/>
                <w:sz w:val="28"/>
                <w:szCs w:val="28"/>
              </w:rPr>
            </w:pPr>
            <w:r>
              <w:rPr>
                <w:rFonts w:asciiTheme="minorEastAsia" w:hAnsiTheme="minorEastAsia" w:eastAsiaTheme="minorEastAsia"/>
                <w:kern w:val="2"/>
                <w:sz w:val="28"/>
                <w:szCs w:val="28"/>
              </w:rPr>
              <w:pict>
                <v:shape id="_x0000_s1029" o:spid="_x0000_s1029" o:spt="202" type="#_x0000_t202" style="position:absolute;left:0pt;margin-left:-5.9pt;margin-top:28.75pt;height:28.95pt;width:43.25pt;z-index:251658240;mso-width-relative:page;mso-height-relative:page;" filled="f" stroked="f" coordsize="21600,21600">
                  <v:path/>
                  <v:fill on="f" focussize="0,0"/>
                  <v:stroke on="f" joinstyle="miter"/>
                  <v:imagedata o:title=""/>
                  <o:lock v:ext="edit"/>
                  <v:textbox>
                    <w:txbxContent>
                      <w:p>
                        <w:pPr>
                          <w:rPr>
                            <w:rFonts w:ascii="仿宋_GB2312"/>
                            <w:b/>
                            <w:sz w:val="24"/>
                          </w:rPr>
                        </w:pPr>
                        <w:r>
                          <w:rPr>
                            <w:rFonts w:hint="eastAsia" w:ascii="仿宋_GB2312"/>
                            <w:b/>
                            <w:sz w:val="24"/>
                          </w:rPr>
                          <w:t>级别</w:t>
                        </w:r>
                      </w:p>
                    </w:txbxContent>
                  </v:textbox>
                </v:shape>
              </w:pict>
            </w:r>
            <w:r>
              <w:rPr>
                <w:rFonts w:asciiTheme="minorEastAsia" w:hAnsiTheme="minorEastAsia" w:eastAsiaTheme="minorEastAsia"/>
                <w:kern w:val="2"/>
                <w:sz w:val="28"/>
                <w:szCs w:val="28"/>
              </w:rPr>
              <w:pict>
                <v:shape id="_x0000_s1028" o:spid="_x0000_s1028" o:spt="202" type="#_x0000_t202" style="position:absolute;left:0pt;margin-left:21.85pt;margin-top:5.05pt;height:26.4pt;width:62.75pt;z-index:251657216;mso-width-relative:page;mso-height-relative:page;" filled="f" stroked="f" coordsize="21600,21600">
                  <v:path/>
                  <v:fill on="f" focussize="0,0"/>
                  <v:stroke on="f" joinstyle="miter"/>
                  <v:imagedata o:title=""/>
                  <o:lock v:ext="edit"/>
                  <v:textbox>
                    <w:txbxContent>
                      <w:p>
                        <w:pPr>
                          <w:rPr>
                            <w:rFonts w:ascii="仿宋_GB2312"/>
                            <w:b/>
                            <w:sz w:val="24"/>
                          </w:rPr>
                        </w:pPr>
                        <w:r>
                          <w:rPr>
                            <w:rFonts w:hint="eastAsia" w:ascii="仿宋_GB2312"/>
                            <w:b/>
                            <w:sz w:val="24"/>
                          </w:rPr>
                          <w:t>交通工具</w:t>
                        </w:r>
                      </w:p>
                    </w:txbxContent>
                  </v:textbox>
                </v:shape>
              </w:pict>
            </w:r>
          </w:p>
        </w:tc>
        <w:tc>
          <w:tcPr>
            <w:tcW w:w="2880" w:type="dxa"/>
            <w:vAlign w:val="center"/>
          </w:tcPr>
          <w:p>
            <w:pPr>
              <w:spacing w:after="0" w:line="600" w:lineRule="exact"/>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火车（含高铁、动车、全列软席列车）</w:t>
            </w:r>
          </w:p>
        </w:tc>
        <w:tc>
          <w:tcPr>
            <w:tcW w:w="1548" w:type="dxa"/>
            <w:vAlign w:val="center"/>
          </w:tcPr>
          <w:p>
            <w:pPr>
              <w:spacing w:after="0" w:line="600" w:lineRule="exact"/>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轮船（不包括旅游船）</w:t>
            </w:r>
          </w:p>
        </w:tc>
        <w:tc>
          <w:tcPr>
            <w:tcW w:w="1071" w:type="dxa"/>
            <w:vAlign w:val="center"/>
          </w:tcPr>
          <w:p>
            <w:pPr>
              <w:spacing w:after="0" w:line="600" w:lineRule="exact"/>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飞机</w:t>
            </w:r>
          </w:p>
        </w:tc>
        <w:tc>
          <w:tcPr>
            <w:tcW w:w="2022" w:type="dxa"/>
            <w:vAlign w:val="center"/>
          </w:tcPr>
          <w:p>
            <w:pPr>
              <w:spacing w:after="0" w:line="600" w:lineRule="exact"/>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其他交通工具（不包括出租小汽车）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spacing w:after="0" w:line="600" w:lineRule="exac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lang w:val="en-US" w:eastAsia="zh-CN"/>
              </w:rPr>
              <w:t>科级</w:t>
            </w:r>
            <w:r>
              <w:rPr>
                <w:rFonts w:hint="eastAsia" w:asciiTheme="minorEastAsia" w:hAnsiTheme="minorEastAsia" w:eastAsiaTheme="minorEastAsia"/>
                <w:kern w:val="2"/>
                <w:sz w:val="28"/>
                <w:szCs w:val="28"/>
              </w:rPr>
              <w:t>及</w:t>
            </w:r>
            <w:r>
              <w:rPr>
                <w:rFonts w:hint="eastAsia" w:asciiTheme="minorEastAsia" w:hAnsiTheme="minorEastAsia" w:eastAsiaTheme="minorEastAsia"/>
                <w:kern w:val="2"/>
                <w:sz w:val="28"/>
                <w:szCs w:val="28"/>
                <w:lang w:val="en-US" w:eastAsia="zh-CN"/>
              </w:rPr>
              <w:t>相当职务</w:t>
            </w:r>
            <w:r>
              <w:rPr>
                <w:rFonts w:hint="eastAsia" w:asciiTheme="minorEastAsia" w:hAnsiTheme="minorEastAsia" w:eastAsiaTheme="minorEastAsia"/>
                <w:kern w:val="2"/>
                <w:sz w:val="28"/>
                <w:szCs w:val="28"/>
              </w:rPr>
              <w:t>人员</w:t>
            </w:r>
          </w:p>
        </w:tc>
        <w:tc>
          <w:tcPr>
            <w:tcW w:w="2880" w:type="dxa"/>
            <w:vAlign w:val="center"/>
          </w:tcPr>
          <w:p>
            <w:pPr>
              <w:spacing w:after="0" w:line="600" w:lineRule="exac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 xml:space="preserve">硬席（硬卧、硬座）,     </w:t>
            </w:r>
          </w:p>
          <w:p>
            <w:pPr>
              <w:spacing w:after="0" w:line="600" w:lineRule="exac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高铁/动车二等座,     全列软席列车二等软座</w:t>
            </w:r>
          </w:p>
        </w:tc>
        <w:tc>
          <w:tcPr>
            <w:tcW w:w="1548" w:type="dxa"/>
            <w:vAlign w:val="center"/>
          </w:tcPr>
          <w:p>
            <w:pPr>
              <w:spacing w:after="0" w:line="600" w:lineRule="exac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三等舱</w:t>
            </w:r>
          </w:p>
        </w:tc>
        <w:tc>
          <w:tcPr>
            <w:tcW w:w="1071" w:type="dxa"/>
            <w:vAlign w:val="center"/>
          </w:tcPr>
          <w:p>
            <w:pPr>
              <w:spacing w:after="0" w:line="600" w:lineRule="exac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经济舱</w:t>
            </w:r>
          </w:p>
        </w:tc>
        <w:tc>
          <w:tcPr>
            <w:tcW w:w="2022" w:type="dxa"/>
            <w:vAlign w:val="center"/>
          </w:tcPr>
          <w:p>
            <w:pPr>
              <w:spacing w:after="0" w:line="600" w:lineRule="exact"/>
              <w:ind w:firstLine="140" w:firstLineChars="5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凭据报销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trPr>
        <w:tc>
          <w:tcPr>
            <w:tcW w:w="1980" w:type="dxa"/>
            <w:vAlign w:val="center"/>
          </w:tcPr>
          <w:p>
            <w:pPr>
              <w:spacing w:after="0" w:line="600" w:lineRule="exact"/>
              <w:rPr>
                <w:rFonts w:hint="default" w:asciiTheme="minorEastAsia" w:hAnsiTheme="minorEastAsia" w:eastAsiaTheme="minorEastAsia"/>
                <w:kern w:val="2"/>
                <w:sz w:val="28"/>
                <w:szCs w:val="28"/>
                <w:lang w:val="en-US" w:eastAsia="zh-CN"/>
              </w:rPr>
            </w:pPr>
            <w:r>
              <w:rPr>
                <w:rFonts w:hint="eastAsia" w:asciiTheme="minorEastAsia" w:hAnsiTheme="minorEastAsia" w:eastAsiaTheme="minorEastAsia"/>
                <w:kern w:val="2"/>
                <w:sz w:val="28"/>
                <w:szCs w:val="28"/>
                <w:lang w:val="en-US" w:eastAsia="zh-CN"/>
              </w:rPr>
              <w:t>其他人员</w:t>
            </w:r>
          </w:p>
        </w:tc>
        <w:tc>
          <w:tcPr>
            <w:tcW w:w="2880" w:type="dxa"/>
            <w:vAlign w:val="center"/>
          </w:tcPr>
          <w:p>
            <w:pPr>
              <w:spacing w:after="0" w:line="600" w:lineRule="exac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 xml:space="preserve">硬席（硬卧、硬座）,     </w:t>
            </w:r>
          </w:p>
          <w:p>
            <w:pPr>
              <w:spacing w:after="0" w:line="600" w:lineRule="exact"/>
              <w:rPr>
                <w:rFonts w:hint="eastAsia" w:asciiTheme="minorEastAsia" w:hAnsiTheme="minorEastAsia" w:eastAsiaTheme="minorEastAsia"/>
                <w:kern w:val="2"/>
                <w:sz w:val="28"/>
                <w:szCs w:val="28"/>
              </w:rPr>
            </w:pPr>
            <w:r>
              <w:rPr>
                <w:rFonts w:hint="eastAsia" w:asciiTheme="minorEastAsia" w:hAnsiTheme="minorEastAsia" w:eastAsiaTheme="minorEastAsia"/>
                <w:kern w:val="2"/>
                <w:sz w:val="28"/>
                <w:szCs w:val="28"/>
              </w:rPr>
              <w:t>高铁/动车二等座,     全列软席列车二等软座</w:t>
            </w:r>
          </w:p>
        </w:tc>
        <w:tc>
          <w:tcPr>
            <w:tcW w:w="1548" w:type="dxa"/>
            <w:vAlign w:val="center"/>
          </w:tcPr>
          <w:p>
            <w:pPr>
              <w:spacing w:after="0" w:line="600" w:lineRule="exact"/>
              <w:rPr>
                <w:rFonts w:hint="eastAsia" w:asciiTheme="minorEastAsia" w:hAnsiTheme="minorEastAsia" w:eastAsiaTheme="minorEastAsia"/>
                <w:kern w:val="2"/>
                <w:sz w:val="28"/>
                <w:szCs w:val="28"/>
              </w:rPr>
            </w:pPr>
            <w:r>
              <w:rPr>
                <w:rFonts w:hint="eastAsia" w:asciiTheme="minorEastAsia" w:hAnsiTheme="minorEastAsia" w:eastAsiaTheme="minorEastAsia"/>
                <w:kern w:val="2"/>
                <w:sz w:val="28"/>
                <w:szCs w:val="28"/>
              </w:rPr>
              <w:t>三等舱</w:t>
            </w:r>
          </w:p>
        </w:tc>
        <w:tc>
          <w:tcPr>
            <w:tcW w:w="1071" w:type="dxa"/>
            <w:vAlign w:val="center"/>
          </w:tcPr>
          <w:p>
            <w:pPr>
              <w:spacing w:after="0" w:line="600" w:lineRule="exact"/>
              <w:rPr>
                <w:rFonts w:hint="eastAsia" w:asciiTheme="minorEastAsia" w:hAnsiTheme="minorEastAsia" w:eastAsiaTheme="minorEastAsia"/>
                <w:kern w:val="2"/>
                <w:sz w:val="28"/>
                <w:szCs w:val="28"/>
              </w:rPr>
            </w:pPr>
            <w:r>
              <w:rPr>
                <w:rFonts w:hint="eastAsia" w:asciiTheme="minorEastAsia" w:hAnsiTheme="minorEastAsia" w:eastAsiaTheme="minorEastAsia"/>
                <w:kern w:val="2"/>
                <w:sz w:val="28"/>
                <w:szCs w:val="28"/>
              </w:rPr>
              <w:t>经济舱</w:t>
            </w:r>
          </w:p>
        </w:tc>
        <w:tc>
          <w:tcPr>
            <w:tcW w:w="2022" w:type="dxa"/>
            <w:vAlign w:val="center"/>
          </w:tcPr>
          <w:p>
            <w:pPr>
              <w:spacing w:after="0" w:line="600" w:lineRule="exact"/>
              <w:ind w:firstLine="140" w:firstLineChars="50"/>
              <w:rPr>
                <w:rFonts w:hint="eastAsia" w:asciiTheme="minorEastAsia" w:hAnsiTheme="minorEastAsia" w:eastAsiaTheme="minorEastAsia"/>
                <w:kern w:val="2"/>
                <w:sz w:val="28"/>
                <w:szCs w:val="28"/>
              </w:rPr>
            </w:pPr>
            <w:r>
              <w:rPr>
                <w:rFonts w:hint="eastAsia" w:asciiTheme="minorEastAsia" w:hAnsiTheme="minorEastAsia" w:eastAsiaTheme="minorEastAsia"/>
                <w:kern w:val="2"/>
                <w:sz w:val="28"/>
                <w:szCs w:val="28"/>
              </w:rPr>
              <w:t>凭据报销</w:t>
            </w:r>
          </w:p>
        </w:tc>
      </w:tr>
    </w:tbl>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三、差旅费报销标准。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1、城市间交通费。因公到常驻地以外地区出差乘坐</w:t>
      </w:r>
      <w:r>
        <w:rPr>
          <w:rFonts w:hint="eastAsia" w:ascii="仿宋" w:hAnsi="仿宋" w:eastAsia="仿宋" w:cs="仿宋"/>
          <w:sz w:val="32"/>
          <w:szCs w:val="32"/>
          <w:lang w:val="en-US" w:eastAsia="zh-CN"/>
        </w:rPr>
        <w:t>火车</w:t>
      </w:r>
      <w:r>
        <w:rPr>
          <w:rFonts w:hint="eastAsia" w:ascii="仿宋" w:hAnsi="仿宋" w:eastAsia="仿宋" w:cs="仿宋"/>
          <w:sz w:val="32"/>
          <w:szCs w:val="32"/>
        </w:rPr>
        <w:t>、</w:t>
      </w:r>
      <w:r>
        <w:rPr>
          <w:rFonts w:hint="eastAsia" w:ascii="仿宋" w:hAnsi="仿宋" w:eastAsia="仿宋" w:cs="仿宋"/>
          <w:sz w:val="32"/>
          <w:szCs w:val="32"/>
          <w:lang w:val="en-US" w:eastAsia="zh-CN"/>
        </w:rPr>
        <w:t>轮船</w:t>
      </w:r>
      <w:r>
        <w:rPr>
          <w:rFonts w:hint="eastAsia" w:ascii="仿宋" w:hAnsi="仿宋" w:eastAsia="仿宋" w:cs="仿宋"/>
          <w:sz w:val="32"/>
          <w:szCs w:val="32"/>
        </w:rPr>
        <w:t>、飞机等交通工具所发生费用及购买的意外保险费（乘坐飞机的，机场往返接驳专线费用、民航发展基金、燃油附加费）凭据报销。</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2、住宿费。（1）到广州</w:t>
      </w:r>
      <w:r>
        <w:rPr>
          <w:rFonts w:hint="eastAsia" w:ascii="仿宋" w:hAnsi="仿宋" w:eastAsia="仿宋" w:cs="仿宋"/>
          <w:sz w:val="32"/>
          <w:szCs w:val="32"/>
          <w:lang w:val="en-US" w:eastAsia="zh-CN"/>
        </w:rPr>
        <w:t>市</w:t>
      </w:r>
      <w:r>
        <w:rPr>
          <w:rFonts w:hint="eastAsia" w:ascii="仿宋" w:hAnsi="仿宋" w:eastAsia="仿宋" w:cs="仿宋"/>
          <w:sz w:val="32"/>
          <w:szCs w:val="32"/>
        </w:rPr>
        <w:t>、深圳</w:t>
      </w:r>
      <w:r>
        <w:rPr>
          <w:rFonts w:hint="eastAsia" w:ascii="仿宋" w:hAnsi="仿宋" w:eastAsia="仿宋" w:cs="仿宋"/>
          <w:sz w:val="32"/>
          <w:szCs w:val="32"/>
          <w:lang w:val="en-US" w:eastAsia="zh-CN"/>
        </w:rPr>
        <w:t>市</w:t>
      </w:r>
      <w:r>
        <w:rPr>
          <w:rFonts w:hint="eastAsia" w:ascii="仿宋" w:hAnsi="仿宋" w:eastAsia="仿宋" w:cs="仿宋"/>
          <w:sz w:val="32"/>
          <w:szCs w:val="32"/>
        </w:rPr>
        <w:t>、珠海</w:t>
      </w:r>
      <w:r>
        <w:rPr>
          <w:rFonts w:hint="eastAsia" w:ascii="仿宋" w:hAnsi="仿宋" w:eastAsia="仿宋" w:cs="仿宋"/>
          <w:sz w:val="32"/>
          <w:szCs w:val="32"/>
          <w:lang w:val="en-US" w:eastAsia="zh-CN"/>
        </w:rPr>
        <w:t>市</w:t>
      </w:r>
      <w:r>
        <w:rPr>
          <w:rFonts w:hint="eastAsia" w:ascii="仿宋" w:hAnsi="仿宋" w:eastAsia="仿宋" w:cs="仿宋"/>
          <w:sz w:val="32"/>
          <w:szCs w:val="32"/>
        </w:rPr>
        <w:t>、佛山</w:t>
      </w:r>
      <w:r>
        <w:rPr>
          <w:rFonts w:hint="eastAsia" w:ascii="仿宋" w:hAnsi="仿宋" w:eastAsia="仿宋" w:cs="仿宋"/>
          <w:sz w:val="32"/>
          <w:szCs w:val="32"/>
          <w:lang w:val="en-US" w:eastAsia="zh-CN"/>
        </w:rPr>
        <w:t>市</w:t>
      </w:r>
      <w:r>
        <w:rPr>
          <w:rFonts w:hint="eastAsia" w:ascii="仿宋" w:hAnsi="仿宋" w:eastAsia="仿宋" w:cs="仿宋"/>
          <w:sz w:val="32"/>
          <w:szCs w:val="32"/>
        </w:rPr>
        <w:t>、东莞</w:t>
      </w:r>
      <w:r>
        <w:rPr>
          <w:rFonts w:hint="eastAsia" w:ascii="仿宋" w:hAnsi="仿宋" w:eastAsia="仿宋" w:cs="仿宋"/>
          <w:sz w:val="32"/>
          <w:szCs w:val="32"/>
          <w:lang w:val="en-US" w:eastAsia="zh-CN"/>
        </w:rPr>
        <w:t>市</w:t>
      </w:r>
      <w:r>
        <w:rPr>
          <w:rFonts w:hint="eastAsia" w:ascii="仿宋" w:hAnsi="仿宋" w:eastAsia="仿宋" w:cs="仿宋"/>
          <w:sz w:val="32"/>
          <w:szCs w:val="32"/>
        </w:rPr>
        <w:t>、中山</w:t>
      </w:r>
      <w:r>
        <w:rPr>
          <w:rFonts w:hint="eastAsia" w:ascii="仿宋" w:hAnsi="仿宋" w:eastAsia="仿宋" w:cs="仿宋"/>
          <w:sz w:val="32"/>
          <w:szCs w:val="32"/>
          <w:lang w:val="en-US" w:eastAsia="zh-CN"/>
        </w:rPr>
        <w:t>市</w:t>
      </w:r>
      <w:r>
        <w:rPr>
          <w:rFonts w:hint="eastAsia" w:ascii="仿宋" w:hAnsi="仿宋" w:eastAsia="仿宋" w:cs="仿宋"/>
          <w:sz w:val="32"/>
          <w:szCs w:val="32"/>
        </w:rPr>
        <w:t>、江门市等7个市</w:t>
      </w:r>
      <w:r>
        <w:rPr>
          <w:rFonts w:hint="eastAsia" w:ascii="仿宋" w:hAnsi="仿宋" w:eastAsia="仿宋" w:cs="仿宋"/>
          <w:sz w:val="32"/>
          <w:szCs w:val="32"/>
          <w:lang w:val="en-US" w:eastAsia="zh-CN"/>
        </w:rPr>
        <w:t>及所辖县（市、区）</w:t>
      </w:r>
      <w:r>
        <w:rPr>
          <w:rFonts w:hint="eastAsia" w:ascii="仿宋" w:hAnsi="仿宋" w:eastAsia="仿宋" w:cs="仿宋"/>
          <w:sz w:val="32"/>
          <w:szCs w:val="32"/>
        </w:rPr>
        <w:t>出差，</w:t>
      </w:r>
      <w:r>
        <w:rPr>
          <w:rFonts w:hint="eastAsia" w:ascii="仿宋" w:hAnsi="仿宋" w:eastAsia="仿宋" w:cs="仿宋"/>
          <w:sz w:val="32"/>
          <w:szCs w:val="32"/>
          <w:lang w:val="en-US" w:eastAsia="zh-CN"/>
        </w:rPr>
        <w:t>处级及相当职务人员</w:t>
      </w:r>
      <w:r>
        <w:rPr>
          <w:rFonts w:hint="eastAsia" w:ascii="仿宋" w:hAnsi="仿宋" w:eastAsia="仿宋" w:cs="仿宋"/>
          <w:sz w:val="32"/>
          <w:szCs w:val="32"/>
        </w:rPr>
        <w:t>每人每天450元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科级及相当职务人员每人每天430元，其他人员每人每天410元</w:t>
      </w:r>
      <w:r>
        <w:rPr>
          <w:rFonts w:hint="eastAsia" w:ascii="仿宋" w:hAnsi="仿宋" w:eastAsia="仿宋" w:cs="仿宋"/>
          <w:sz w:val="32"/>
          <w:szCs w:val="32"/>
        </w:rPr>
        <w:t>。（2）到汕头</w:t>
      </w:r>
      <w:r>
        <w:rPr>
          <w:rFonts w:hint="eastAsia" w:ascii="仿宋" w:hAnsi="仿宋" w:eastAsia="仿宋" w:cs="仿宋"/>
          <w:sz w:val="32"/>
          <w:szCs w:val="32"/>
          <w:lang w:val="en-US" w:eastAsia="zh-CN"/>
        </w:rPr>
        <w:t>市</w:t>
      </w:r>
      <w:r>
        <w:rPr>
          <w:rFonts w:hint="eastAsia" w:ascii="仿宋" w:hAnsi="仿宋" w:eastAsia="仿宋" w:cs="仿宋"/>
          <w:sz w:val="32"/>
          <w:szCs w:val="32"/>
        </w:rPr>
        <w:t>、韶关</w:t>
      </w:r>
      <w:r>
        <w:rPr>
          <w:rFonts w:hint="eastAsia" w:ascii="仿宋" w:hAnsi="仿宋" w:eastAsia="仿宋" w:cs="仿宋"/>
          <w:sz w:val="32"/>
          <w:szCs w:val="32"/>
          <w:lang w:val="en-US" w:eastAsia="zh-CN"/>
        </w:rPr>
        <w:t>市</w:t>
      </w:r>
      <w:r>
        <w:rPr>
          <w:rFonts w:hint="eastAsia" w:ascii="仿宋" w:hAnsi="仿宋" w:eastAsia="仿宋" w:cs="仿宋"/>
          <w:sz w:val="32"/>
          <w:szCs w:val="32"/>
        </w:rPr>
        <w:t>、河源</w:t>
      </w:r>
      <w:r>
        <w:rPr>
          <w:rFonts w:hint="eastAsia" w:ascii="仿宋" w:hAnsi="仿宋" w:eastAsia="仿宋" w:cs="仿宋"/>
          <w:sz w:val="32"/>
          <w:szCs w:val="32"/>
          <w:lang w:val="en-US" w:eastAsia="zh-CN"/>
        </w:rPr>
        <w:t>市</w:t>
      </w:r>
      <w:r>
        <w:rPr>
          <w:rFonts w:hint="eastAsia" w:ascii="仿宋" w:hAnsi="仿宋" w:eastAsia="仿宋" w:cs="仿宋"/>
          <w:sz w:val="32"/>
          <w:szCs w:val="32"/>
        </w:rPr>
        <w:t>、惠州</w:t>
      </w:r>
      <w:r>
        <w:rPr>
          <w:rFonts w:hint="eastAsia" w:ascii="仿宋" w:hAnsi="仿宋" w:eastAsia="仿宋" w:cs="仿宋"/>
          <w:sz w:val="32"/>
          <w:szCs w:val="32"/>
          <w:lang w:val="en-US" w:eastAsia="zh-CN"/>
        </w:rPr>
        <w:t>市</w:t>
      </w:r>
      <w:r>
        <w:rPr>
          <w:rFonts w:hint="eastAsia" w:ascii="仿宋" w:hAnsi="仿宋" w:eastAsia="仿宋" w:cs="仿宋"/>
          <w:sz w:val="32"/>
          <w:szCs w:val="32"/>
        </w:rPr>
        <w:t>、汕尾</w:t>
      </w:r>
      <w:r>
        <w:rPr>
          <w:rFonts w:hint="eastAsia" w:ascii="仿宋" w:hAnsi="仿宋" w:eastAsia="仿宋" w:cs="仿宋"/>
          <w:sz w:val="32"/>
          <w:szCs w:val="32"/>
          <w:lang w:val="en-US" w:eastAsia="zh-CN"/>
        </w:rPr>
        <w:t>市</w:t>
      </w:r>
      <w:r>
        <w:rPr>
          <w:rFonts w:hint="eastAsia" w:ascii="仿宋" w:hAnsi="仿宋" w:eastAsia="仿宋" w:cs="仿宋"/>
          <w:sz w:val="32"/>
          <w:szCs w:val="32"/>
        </w:rPr>
        <w:t>、阳江</w:t>
      </w:r>
      <w:r>
        <w:rPr>
          <w:rFonts w:hint="eastAsia" w:ascii="仿宋" w:hAnsi="仿宋" w:eastAsia="仿宋" w:cs="仿宋"/>
          <w:sz w:val="32"/>
          <w:szCs w:val="32"/>
          <w:lang w:val="en-US" w:eastAsia="zh-CN"/>
        </w:rPr>
        <w:t>市</w:t>
      </w:r>
      <w:r>
        <w:rPr>
          <w:rFonts w:hint="eastAsia" w:ascii="仿宋" w:hAnsi="仿宋" w:eastAsia="仿宋" w:cs="仿宋"/>
          <w:sz w:val="32"/>
          <w:szCs w:val="32"/>
        </w:rPr>
        <w:t>、湛江</w:t>
      </w:r>
      <w:r>
        <w:rPr>
          <w:rFonts w:hint="eastAsia" w:ascii="仿宋" w:hAnsi="仿宋" w:eastAsia="仿宋" w:cs="仿宋"/>
          <w:sz w:val="32"/>
          <w:szCs w:val="32"/>
          <w:lang w:val="en-US" w:eastAsia="zh-CN"/>
        </w:rPr>
        <w:t>市</w:t>
      </w:r>
      <w:r>
        <w:rPr>
          <w:rFonts w:hint="eastAsia" w:ascii="仿宋" w:hAnsi="仿宋" w:eastAsia="仿宋" w:cs="仿宋"/>
          <w:sz w:val="32"/>
          <w:szCs w:val="32"/>
        </w:rPr>
        <w:t>、茂名</w:t>
      </w:r>
      <w:r>
        <w:rPr>
          <w:rFonts w:hint="eastAsia" w:ascii="仿宋" w:hAnsi="仿宋" w:eastAsia="仿宋" w:cs="仿宋"/>
          <w:sz w:val="32"/>
          <w:szCs w:val="32"/>
          <w:lang w:val="en-US" w:eastAsia="zh-CN"/>
        </w:rPr>
        <w:t>市</w:t>
      </w:r>
      <w:r>
        <w:rPr>
          <w:rFonts w:hint="eastAsia" w:ascii="仿宋" w:hAnsi="仿宋" w:eastAsia="仿宋" w:cs="仿宋"/>
          <w:sz w:val="32"/>
          <w:szCs w:val="32"/>
        </w:rPr>
        <w:t>、肇庆</w:t>
      </w:r>
      <w:r>
        <w:rPr>
          <w:rFonts w:hint="eastAsia" w:ascii="仿宋" w:hAnsi="仿宋" w:eastAsia="仿宋" w:cs="仿宋"/>
          <w:sz w:val="32"/>
          <w:szCs w:val="32"/>
          <w:lang w:val="en-US" w:eastAsia="zh-CN"/>
        </w:rPr>
        <w:t>市</w:t>
      </w:r>
      <w:r>
        <w:rPr>
          <w:rFonts w:hint="eastAsia" w:ascii="仿宋" w:hAnsi="仿宋" w:eastAsia="仿宋" w:cs="仿宋"/>
          <w:sz w:val="32"/>
          <w:szCs w:val="32"/>
        </w:rPr>
        <w:t>、清远</w:t>
      </w:r>
      <w:r>
        <w:rPr>
          <w:rFonts w:hint="eastAsia" w:ascii="仿宋" w:hAnsi="仿宋" w:eastAsia="仿宋" w:cs="仿宋"/>
          <w:sz w:val="32"/>
          <w:szCs w:val="32"/>
          <w:lang w:val="en-US" w:eastAsia="zh-CN"/>
        </w:rPr>
        <w:t>市</w:t>
      </w:r>
      <w:r>
        <w:rPr>
          <w:rFonts w:hint="eastAsia" w:ascii="仿宋" w:hAnsi="仿宋" w:eastAsia="仿宋" w:cs="仿宋"/>
          <w:sz w:val="32"/>
          <w:szCs w:val="32"/>
        </w:rPr>
        <w:t>、潮州</w:t>
      </w:r>
      <w:r>
        <w:rPr>
          <w:rFonts w:hint="eastAsia" w:ascii="仿宋" w:hAnsi="仿宋" w:eastAsia="仿宋" w:cs="仿宋"/>
          <w:sz w:val="32"/>
          <w:szCs w:val="32"/>
          <w:lang w:val="en-US" w:eastAsia="zh-CN"/>
        </w:rPr>
        <w:t>市</w:t>
      </w:r>
      <w:r>
        <w:rPr>
          <w:rFonts w:hint="eastAsia" w:ascii="仿宋" w:hAnsi="仿宋" w:eastAsia="仿宋" w:cs="仿宋"/>
          <w:sz w:val="32"/>
          <w:szCs w:val="32"/>
        </w:rPr>
        <w:t>、揭阳</w:t>
      </w:r>
      <w:r>
        <w:rPr>
          <w:rFonts w:hint="eastAsia" w:ascii="仿宋" w:hAnsi="仿宋" w:eastAsia="仿宋" w:cs="仿宋"/>
          <w:sz w:val="32"/>
          <w:szCs w:val="32"/>
          <w:lang w:val="en-US" w:eastAsia="zh-CN"/>
        </w:rPr>
        <w:t>市</w:t>
      </w:r>
      <w:r>
        <w:rPr>
          <w:rFonts w:hint="eastAsia" w:ascii="仿宋" w:hAnsi="仿宋" w:eastAsia="仿宋" w:cs="仿宋"/>
          <w:sz w:val="32"/>
          <w:szCs w:val="32"/>
        </w:rPr>
        <w:t>、云浮</w:t>
      </w:r>
      <w:r>
        <w:rPr>
          <w:rFonts w:hint="eastAsia" w:ascii="仿宋" w:hAnsi="仿宋" w:eastAsia="仿宋" w:cs="仿宋"/>
          <w:sz w:val="32"/>
          <w:szCs w:val="32"/>
          <w:lang w:val="en-US" w:eastAsia="zh-CN"/>
        </w:rPr>
        <w:t>市</w:t>
      </w:r>
      <w:r>
        <w:rPr>
          <w:rFonts w:hint="eastAsia" w:ascii="仿宋" w:hAnsi="仿宋" w:eastAsia="仿宋" w:cs="仿宋"/>
          <w:sz w:val="32"/>
          <w:szCs w:val="32"/>
        </w:rPr>
        <w:t>等13个市</w:t>
      </w:r>
      <w:r>
        <w:rPr>
          <w:rFonts w:hint="eastAsia" w:ascii="仿宋" w:hAnsi="仿宋" w:eastAsia="仿宋" w:cs="仿宋"/>
          <w:sz w:val="32"/>
          <w:szCs w:val="32"/>
          <w:lang w:val="en-US" w:eastAsia="zh-CN"/>
        </w:rPr>
        <w:t>所辖区</w:t>
      </w:r>
      <w:r>
        <w:rPr>
          <w:rFonts w:hint="eastAsia" w:ascii="仿宋" w:hAnsi="仿宋" w:eastAsia="仿宋" w:cs="仿宋"/>
          <w:sz w:val="32"/>
          <w:szCs w:val="32"/>
        </w:rPr>
        <w:t>出差</w:t>
      </w:r>
      <w:r>
        <w:rPr>
          <w:rFonts w:hint="eastAsia" w:ascii="仿宋" w:hAnsi="仿宋" w:eastAsia="仿宋" w:cs="仿宋"/>
          <w:sz w:val="32"/>
          <w:szCs w:val="32"/>
          <w:lang w:val="en-US" w:eastAsia="zh-CN"/>
        </w:rPr>
        <w:t>的</w:t>
      </w:r>
      <w:r>
        <w:rPr>
          <w:rFonts w:hint="eastAsia" w:ascii="仿宋" w:hAnsi="仿宋" w:eastAsia="仿宋" w:cs="仿宋"/>
          <w:sz w:val="32"/>
          <w:szCs w:val="32"/>
        </w:rPr>
        <w:t>，</w:t>
      </w:r>
      <w:r>
        <w:rPr>
          <w:rFonts w:hint="eastAsia" w:ascii="仿宋" w:hAnsi="仿宋" w:eastAsia="仿宋" w:cs="仿宋"/>
          <w:sz w:val="32"/>
          <w:szCs w:val="32"/>
          <w:lang w:val="en-US" w:eastAsia="zh-CN"/>
        </w:rPr>
        <w:t>处级及相当职务人员</w:t>
      </w:r>
      <w:r>
        <w:rPr>
          <w:rFonts w:hint="eastAsia" w:ascii="仿宋" w:hAnsi="仿宋" w:eastAsia="仿宋" w:cs="仿宋"/>
          <w:sz w:val="32"/>
          <w:szCs w:val="32"/>
        </w:rPr>
        <w:t>每人每天420元，</w:t>
      </w:r>
      <w:r>
        <w:rPr>
          <w:rFonts w:hint="eastAsia" w:ascii="仿宋" w:hAnsi="仿宋" w:eastAsia="仿宋" w:cs="仿宋"/>
          <w:sz w:val="32"/>
          <w:szCs w:val="32"/>
          <w:lang w:val="en-US" w:eastAsia="zh-CN"/>
        </w:rPr>
        <w:t>科级及相当职务人员每人每天400元，其他人员每人每天380元；</w:t>
      </w:r>
      <w:r>
        <w:rPr>
          <w:rFonts w:hint="eastAsia" w:ascii="仿宋" w:hAnsi="仿宋" w:eastAsia="仿宋" w:cs="仿宋"/>
          <w:sz w:val="32"/>
          <w:szCs w:val="32"/>
        </w:rPr>
        <w:t>到上述13个市所辖县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lang w:eastAsia="zh-CN"/>
        </w:rPr>
        <w:t>）</w:t>
      </w:r>
      <w:r>
        <w:rPr>
          <w:rFonts w:hint="eastAsia" w:ascii="仿宋" w:hAnsi="仿宋" w:eastAsia="仿宋" w:cs="仿宋"/>
          <w:sz w:val="32"/>
          <w:szCs w:val="32"/>
        </w:rPr>
        <w:t>出差的，</w:t>
      </w:r>
      <w:r>
        <w:rPr>
          <w:rFonts w:hint="eastAsia" w:ascii="仿宋" w:hAnsi="仿宋" w:eastAsia="仿宋" w:cs="仿宋"/>
          <w:sz w:val="32"/>
          <w:szCs w:val="32"/>
          <w:lang w:val="en-US" w:eastAsia="zh-CN"/>
        </w:rPr>
        <w:t>处级及相当职务人员</w:t>
      </w:r>
      <w:r>
        <w:rPr>
          <w:rFonts w:hint="eastAsia" w:ascii="仿宋" w:hAnsi="仿宋" w:eastAsia="仿宋" w:cs="仿宋"/>
          <w:sz w:val="32"/>
          <w:szCs w:val="32"/>
        </w:rPr>
        <w:t>每人每天4</w:t>
      </w:r>
      <w:r>
        <w:rPr>
          <w:rFonts w:hint="eastAsia" w:ascii="仿宋" w:hAnsi="仿宋" w:eastAsia="仿宋" w:cs="仿宋"/>
          <w:sz w:val="32"/>
          <w:szCs w:val="32"/>
          <w:lang w:val="en-US" w:eastAsia="zh-CN"/>
        </w:rPr>
        <w:t>00</w:t>
      </w:r>
      <w:r>
        <w:rPr>
          <w:rFonts w:hint="eastAsia" w:ascii="仿宋" w:hAnsi="仿宋" w:eastAsia="仿宋" w:cs="仿宋"/>
          <w:sz w:val="32"/>
          <w:szCs w:val="32"/>
        </w:rPr>
        <w:t>元，</w:t>
      </w:r>
      <w:r>
        <w:rPr>
          <w:rFonts w:hint="eastAsia" w:ascii="仿宋" w:hAnsi="仿宋" w:eastAsia="仿宋" w:cs="仿宋"/>
          <w:sz w:val="32"/>
          <w:szCs w:val="32"/>
          <w:lang w:val="en-US" w:eastAsia="zh-CN"/>
        </w:rPr>
        <w:t>科级及相当职务人员每人每天380元，其他人员每人每天360元</w:t>
      </w:r>
      <w:r>
        <w:rPr>
          <w:rFonts w:hint="eastAsia" w:ascii="仿宋" w:hAnsi="仿宋" w:eastAsia="仿宋" w:cs="仿宋"/>
          <w:sz w:val="32"/>
          <w:szCs w:val="32"/>
        </w:rPr>
        <w:t>。（3）本市内</w:t>
      </w:r>
      <w:r>
        <w:rPr>
          <w:rFonts w:hint="eastAsia" w:ascii="仿宋" w:hAnsi="仿宋" w:eastAsia="仿宋" w:cs="仿宋"/>
          <w:sz w:val="32"/>
          <w:szCs w:val="32"/>
          <w:lang w:val="en-US" w:eastAsia="zh-CN"/>
        </w:rPr>
        <w:t>和本县内（镇、村）</w:t>
      </w:r>
      <w:r>
        <w:rPr>
          <w:rFonts w:hint="eastAsia" w:ascii="仿宋" w:hAnsi="仿宋" w:eastAsia="仿宋" w:cs="仿宋"/>
          <w:sz w:val="32"/>
          <w:szCs w:val="32"/>
        </w:rPr>
        <w:t>出差的，</w:t>
      </w:r>
      <w:r>
        <w:rPr>
          <w:rFonts w:hint="eastAsia" w:ascii="仿宋" w:hAnsi="仿宋" w:eastAsia="仿宋" w:cs="仿宋"/>
          <w:sz w:val="32"/>
          <w:szCs w:val="32"/>
          <w:lang w:val="en-US" w:eastAsia="zh-CN"/>
        </w:rPr>
        <w:t>处级及相当职务人员</w:t>
      </w:r>
      <w:r>
        <w:rPr>
          <w:rFonts w:hint="eastAsia" w:ascii="仿宋" w:hAnsi="仿宋" w:eastAsia="仿宋" w:cs="仿宋"/>
          <w:sz w:val="32"/>
          <w:szCs w:val="32"/>
        </w:rPr>
        <w:t>每人每天4</w:t>
      </w:r>
      <w:r>
        <w:rPr>
          <w:rFonts w:hint="eastAsia" w:ascii="仿宋" w:hAnsi="仿宋" w:eastAsia="仿宋" w:cs="仿宋"/>
          <w:sz w:val="32"/>
          <w:szCs w:val="32"/>
          <w:lang w:val="en-US" w:eastAsia="zh-CN"/>
        </w:rPr>
        <w:t>00</w:t>
      </w:r>
      <w:r>
        <w:rPr>
          <w:rFonts w:hint="eastAsia" w:ascii="仿宋" w:hAnsi="仿宋" w:eastAsia="仿宋" w:cs="仿宋"/>
          <w:sz w:val="32"/>
          <w:szCs w:val="32"/>
        </w:rPr>
        <w:t>元，</w:t>
      </w:r>
      <w:r>
        <w:rPr>
          <w:rFonts w:hint="eastAsia" w:ascii="仿宋" w:hAnsi="仿宋" w:eastAsia="仿宋" w:cs="仿宋"/>
          <w:sz w:val="32"/>
          <w:szCs w:val="32"/>
          <w:lang w:val="en-US" w:eastAsia="zh-CN"/>
        </w:rPr>
        <w:t>科级及相当职务人员每人每天380元，其他人员每人每天360元</w:t>
      </w:r>
      <w:r>
        <w:rPr>
          <w:rFonts w:hint="eastAsia" w:ascii="仿宋" w:hAnsi="仿宋" w:eastAsia="仿宋" w:cs="仿宋"/>
          <w:sz w:val="32"/>
          <w:szCs w:val="32"/>
        </w:rPr>
        <w:t>。（4）到省外出差的</w:t>
      </w:r>
      <w:r>
        <w:rPr>
          <w:rFonts w:hint="eastAsia" w:ascii="仿宋" w:hAnsi="仿宋" w:eastAsia="仿宋" w:cs="仿宋"/>
          <w:sz w:val="32"/>
          <w:szCs w:val="32"/>
          <w:lang w:val="en-US" w:eastAsia="zh-CN"/>
        </w:rPr>
        <w:t>差旅</w:t>
      </w:r>
      <w:r>
        <w:rPr>
          <w:rFonts w:hint="eastAsia" w:ascii="仿宋" w:hAnsi="仿宋" w:eastAsia="仿宋" w:cs="仿宋"/>
          <w:sz w:val="32"/>
          <w:szCs w:val="32"/>
        </w:rPr>
        <w:t>住宿费标准按</w:t>
      </w:r>
      <w:r>
        <w:rPr>
          <w:rFonts w:hint="eastAsia" w:ascii="仿宋" w:hAnsi="仿宋" w:eastAsia="仿宋" w:cs="仿宋"/>
          <w:sz w:val="32"/>
          <w:szCs w:val="32"/>
          <w:lang w:val="en-US" w:eastAsia="zh-CN"/>
        </w:rPr>
        <w:t>县委办、县府办</w:t>
      </w:r>
      <w:r>
        <w:rPr>
          <w:rFonts w:hint="eastAsia" w:ascii="仿宋" w:hAnsi="仿宋" w:eastAsia="仿宋" w:cs="仿宋"/>
          <w:sz w:val="32"/>
          <w:szCs w:val="32"/>
        </w:rPr>
        <w:t>《</w:t>
      </w:r>
      <w:r>
        <w:rPr>
          <w:rFonts w:hint="eastAsia" w:ascii="仿宋" w:hAnsi="仿宋" w:eastAsia="仿宋" w:cs="仿宋"/>
          <w:sz w:val="32"/>
          <w:szCs w:val="32"/>
          <w:lang w:val="en-US" w:eastAsia="zh-CN"/>
        </w:rPr>
        <w:t>丰顺县县</w:t>
      </w:r>
      <w:r>
        <w:rPr>
          <w:rFonts w:hint="eastAsia" w:ascii="仿宋" w:hAnsi="仿宋" w:eastAsia="仿宋" w:cs="仿宋"/>
          <w:sz w:val="32"/>
          <w:szCs w:val="32"/>
        </w:rPr>
        <w:t>直党政机关和事业单位差旅费管理办法&gt;的通知》（</w:t>
      </w:r>
      <w:r>
        <w:rPr>
          <w:rFonts w:hint="eastAsia" w:ascii="仿宋" w:hAnsi="仿宋" w:eastAsia="仿宋" w:cs="仿宋"/>
          <w:sz w:val="32"/>
          <w:szCs w:val="32"/>
          <w:lang w:val="en-US" w:eastAsia="zh-CN"/>
        </w:rPr>
        <w:t>丰委办</w:t>
      </w:r>
      <w:r>
        <w:rPr>
          <w:rFonts w:hint="eastAsia" w:ascii="仿宋" w:hAnsi="仿宋" w:eastAsia="仿宋" w:cs="仿宋"/>
          <w:sz w:val="32"/>
          <w:szCs w:val="32"/>
        </w:rPr>
        <w:t>〔2014〕</w:t>
      </w:r>
      <w:r>
        <w:rPr>
          <w:rFonts w:hint="eastAsia" w:ascii="仿宋" w:hAnsi="仿宋" w:eastAsia="仿宋" w:cs="仿宋"/>
          <w:sz w:val="32"/>
          <w:szCs w:val="32"/>
          <w:lang w:val="en-US" w:eastAsia="zh-CN"/>
        </w:rPr>
        <w:t>55</w:t>
      </w:r>
      <w:r>
        <w:rPr>
          <w:rFonts w:hint="eastAsia" w:ascii="仿宋" w:hAnsi="仿宋" w:eastAsia="仿宋" w:cs="仿宋"/>
          <w:sz w:val="32"/>
          <w:szCs w:val="32"/>
        </w:rPr>
        <w:t>号）</w:t>
      </w:r>
      <w:r>
        <w:rPr>
          <w:rFonts w:hint="eastAsia" w:ascii="仿宋" w:hAnsi="仿宋" w:eastAsia="仿宋" w:cs="仿宋"/>
          <w:sz w:val="32"/>
          <w:szCs w:val="32"/>
          <w:lang w:val="en-US" w:eastAsia="zh-CN"/>
        </w:rPr>
        <w:t>执行</w:t>
      </w:r>
      <w:r>
        <w:rPr>
          <w:rFonts w:hint="eastAsia" w:ascii="仿宋" w:hAnsi="仿宋" w:eastAsia="仿宋" w:cs="仿宋"/>
          <w:sz w:val="32"/>
          <w:szCs w:val="32"/>
        </w:rPr>
        <w:t>。住宿费凭据报销，超标部分自理。</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3、伙食补助费。按出差自然（日历）天数实行定额包干，</w:t>
      </w:r>
      <w:r>
        <w:rPr>
          <w:rFonts w:hint="eastAsia" w:ascii="仿宋" w:hAnsi="仿宋" w:eastAsia="仿宋" w:cs="仿宋"/>
          <w:sz w:val="32"/>
          <w:szCs w:val="32"/>
          <w:lang w:val="en-US" w:eastAsia="zh-CN"/>
        </w:rPr>
        <w:t>到县</w:t>
      </w:r>
      <w:r>
        <w:rPr>
          <w:rFonts w:hint="eastAsia" w:ascii="仿宋" w:hAnsi="仿宋" w:eastAsia="仿宋" w:cs="仿宋"/>
          <w:sz w:val="32"/>
          <w:szCs w:val="32"/>
        </w:rPr>
        <w:t>外地区出差的每人每天</w:t>
      </w:r>
      <w:r>
        <w:rPr>
          <w:rFonts w:hint="eastAsia" w:ascii="仿宋" w:hAnsi="仿宋" w:eastAsia="仿宋" w:cs="仿宋"/>
          <w:sz w:val="32"/>
          <w:szCs w:val="32"/>
          <w:lang w:val="en-US" w:eastAsia="zh-CN"/>
        </w:rPr>
        <w:t>补助80元，</w:t>
      </w:r>
      <w:r>
        <w:rPr>
          <w:rFonts w:hint="eastAsia" w:ascii="仿宋" w:hAnsi="仿宋" w:eastAsia="仿宋" w:cs="仿宋"/>
          <w:sz w:val="32"/>
          <w:szCs w:val="32"/>
        </w:rPr>
        <w:t>到县</w:t>
      </w:r>
      <w:r>
        <w:rPr>
          <w:rFonts w:hint="eastAsia" w:ascii="仿宋" w:hAnsi="仿宋" w:eastAsia="仿宋" w:cs="仿宋"/>
          <w:sz w:val="32"/>
          <w:szCs w:val="32"/>
          <w:lang w:val="en-US" w:eastAsia="zh-CN"/>
        </w:rPr>
        <w:t>内</w:t>
      </w:r>
      <w:r>
        <w:rPr>
          <w:rFonts w:hint="eastAsia" w:ascii="仿宋" w:hAnsi="仿宋" w:eastAsia="仿宋" w:cs="仿宋"/>
          <w:sz w:val="32"/>
          <w:szCs w:val="32"/>
        </w:rPr>
        <w:t>（</w:t>
      </w:r>
      <w:r>
        <w:rPr>
          <w:rFonts w:hint="eastAsia" w:ascii="仿宋" w:hAnsi="仿宋" w:eastAsia="仿宋" w:cs="仿宋"/>
          <w:sz w:val="32"/>
          <w:szCs w:val="32"/>
          <w:lang w:val="en-US" w:eastAsia="zh-CN"/>
        </w:rPr>
        <w:t>镇、村</w:t>
      </w:r>
      <w:r>
        <w:rPr>
          <w:rFonts w:hint="eastAsia" w:ascii="仿宋" w:hAnsi="仿宋" w:eastAsia="仿宋" w:cs="仿宋"/>
          <w:sz w:val="32"/>
          <w:szCs w:val="32"/>
        </w:rPr>
        <w:t>）出差的，</w:t>
      </w:r>
      <w:r>
        <w:rPr>
          <w:rFonts w:hint="eastAsia" w:ascii="仿宋" w:hAnsi="仿宋" w:eastAsia="仿宋" w:cs="仿宋"/>
          <w:sz w:val="32"/>
          <w:szCs w:val="32"/>
          <w:lang w:val="en-US" w:eastAsia="zh-CN"/>
        </w:rPr>
        <w:t>按误餐补助规定执行</w:t>
      </w:r>
      <w:r>
        <w:rPr>
          <w:rFonts w:hint="eastAsia" w:ascii="仿宋" w:hAnsi="仿宋" w:eastAsia="仿宋" w:cs="仿宋"/>
          <w:sz w:val="32"/>
          <w:szCs w:val="32"/>
        </w:rPr>
        <w:t>。具体标准按</w:t>
      </w:r>
      <w:r>
        <w:rPr>
          <w:rFonts w:hint="eastAsia" w:ascii="仿宋" w:hAnsi="仿宋" w:eastAsia="仿宋" w:cs="仿宋"/>
          <w:sz w:val="32"/>
          <w:szCs w:val="32"/>
          <w:lang w:val="en-US" w:eastAsia="zh-CN"/>
        </w:rPr>
        <w:t>丰委办</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42</w:t>
      </w:r>
      <w:r>
        <w:rPr>
          <w:rFonts w:hint="eastAsia" w:ascii="仿宋" w:hAnsi="仿宋" w:eastAsia="仿宋" w:cs="仿宋"/>
          <w:sz w:val="32"/>
          <w:szCs w:val="32"/>
        </w:rPr>
        <w:t>号文执行。</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4、市内交通费。按出差自然（日历）天数实行定额包干，每人每天80元。乘坐本单位公务用车或单位租赁用车出差的，不得报销市内交通费。</w:t>
      </w:r>
    </w:p>
    <w:p>
      <w:pPr>
        <w:adjustRightInd/>
        <w:snapToGrid/>
        <w:spacing w:after="0" w:line="600" w:lineRule="exact"/>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5、与会、外派的差旅费。工作人员到</w:t>
      </w:r>
      <w:r>
        <w:rPr>
          <w:rFonts w:hint="eastAsia" w:ascii="仿宋" w:hAnsi="仿宋" w:eastAsia="仿宋" w:cs="仿宋"/>
          <w:sz w:val="32"/>
          <w:szCs w:val="32"/>
          <w:lang w:val="en-US" w:eastAsia="zh-CN"/>
        </w:rPr>
        <w:t>丰顺县城</w:t>
      </w:r>
      <w:r>
        <w:rPr>
          <w:rFonts w:hint="eastAsia" w:ascii="仿宋" w:hAnsi="仿宋" w:eastAsia="仿宋" w:cs="仿宋"/>
          <w:sz w:val="32"/>
          <w:szCs w:val="32"/>
        </w:rPr>
        <w:t>区以外参加会议和培训班，市内交通费和报到或返程在途期间发生的城市间交通费、住宿费、伙食补助费</w:t>
      </w:r>
      <w:r>
        <w:rPr>
          <w:rFonts w:hint="eastAsia" w:ascii="仿宋" w:hAnsi="仿宋" w:eastAsia="仿宋" w:cs="仿宋"/>
          <w:sz w:val="32"/>
          <w:szCs w:val="32"/>
          <w:lang w:val="en-US" w:eastAsia="zh-CN"/>
        </w:rPr>
        <w:t>回所在单位按照丰委办</w:t>
      </w:r>
      <w:r>
        <w:rPr>
          <w:rFonts w:hint="eastAsia" w:ascii="仿宋" w:hAnsi="仿宋" w:eastAsia="仿宋" w:cs="仿宋"/>
          <w:sz w:val="32"/>
          <w:szCs w:val="32"/>
        </w:rPr>
        <w:t>〔2014〕</w:t>
      </w:r>
      <w:r>
        <w:rPr>
          <w:rFonts w:hint="eastAsia" w:ascii="仿宋" w:hAnsi="仿宋" w:eastAsia="仿宋" w:cs="仿宋"/>
          <w:sz w:val="32"/>
          <w:szCs w:val="32"/>
          <w:lang w:val="en-US" w:eastAsia="zh-CN"/>
        </w:rPr>
        <w:t>55</w:t>
      </w:r>
      <w:r>
        <w:rPr>
          <w:rFonts w:hint="eastAsia" w:ascii="仿宋" w:hAnsi="仿宋" w:eastAsia="仿宋" w:cs="仿宋"/>
          <w:sz w:val="32"/>
          <w:szCs w:val="32"/>
        </w:rPr>
        <w:t>号</w:t>
      </w:r>
      <w:r>
        <w:rPr>
          <w:rFonts w:hint="eastAsia" w:ascii="仿宋" w:hAnsi="仿宋" w:eastAsia="仿宋" w:cs="仿宋"/>
          <w:sz w:val="32"/>
          <w:szCs w:val="32"/>
          <w:lang w:val="en-US" w:eastAsia="zh-CN"/>
        </w:rPr>
        <w:t>文规定报销。</w:t>
      </w:r>
    </w:p>
    <w:p>
      <w:pPr>
        <w:keepNext w:val="0"/>
        <w:keepLines w:val="0"/>
        <w:pageBreakBefore w:val="0"/>
        <w:widowControl/>
        <w:kinsoku/>
        <w:wordWrap/>
        <w:overflowPunct/>
        <w:topLinePunct w:val="0"/>
        <w:autoSpaceDE/>
        <w:autoSpaceDN/>
        <w:bidi w:val="0"/>
        <w:spacing w:after="0"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出差人员差旅活动结束后应当及时办理报销手续，报销时应当提供《出差审批单》、机票、车船票、住宿费发票（含住宿清单）、会议培训通知等凭证。住宿费、机票支出等必须按规定使用公务卡（一并提供pos机小票）或银行转账结算。</w:t>
      </w:r>
    </w:p>
    <w:p>
      <w:pPr>
        <w:keepNext w:val="0"/>
        <w:keepLines w:val="0"/>
        <w:pageBreakBefore w:val="0"/>
        <w:widowControl/>
        <w:kinsoku/>
        <w:wordWrap/>
        <w:overflowPunct/>
        <w:topLinePunct w:val="0"/>
        <w:autoSpaceDE/>
        <w:autoSpaceDN/>
        <w:bidi w:val="0"/>
        <w:adjustRightInd/>
        <w:snapToGrid/>
        <w:spacing w:after="0" w:line="600" w:lineRule="atLeas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五、严格审核把关。</w:t>
      </w:r>
      <w:r>
        <w:rPr>
          <w:rFonts w:hint="eastAsia" w:ascii="仿宋" w:hAnsi="仿宋" w:eastAsia="仿宋" w:cs="仿宋"/>
          <w:sz w:val="32"/>
          <w:szCs w:val="32"/>
        </w:rPr>
        <w:t>出差人应如实填写“差旅费报销单”，</w:t>
      </w:r>
      <w:r>
        <w:rPr>
          <w:rFonts w:hint="eastAsia" w:ascii="仿宋" w:hAnsi="仿宋" w:eastAsia="仿宋" w:cs="仿宋"/>
          <w:sz w:val="32"/>
          <w:szCs w:val="32"/>
          <w:lang w:val="en-US" w:eastAsia="zh-CN"/>
        </w:rPr>
        <w:t>股</w:t>
      </w:r>
      <w:r>
        <w:rPr>
          <w:rFonts w:hint="eastAsia" w:ascii="仿宋" w:hAnsi="仿宋" w:eastAsia="仿宋" w:cs="仿宋"/>
          <w:sz w:val="32"/>
          <w:szCs w:val="32"/>
        </w:rPr>
        <w:t>长出差须有分管领导签名，</w:t>
      </w:r>
      <w:r>
        <w:rPr>
          <w:rFonts w:hint="eastAsia" w:ascii="仿宋" w:hAnsi="仿宋" w:eastAsia="仿宋" w:cs="仿宋"/>
          <w:sz w:val="32"/>
          <w:szCs w:val="32"/>
          <w:lang w:val="en-US" w:eastAsia="zh-CN"/>
        </w:rPr>
        <w:t>股</w:t>
      </w:r>
      <w:r>
        <w:rPr>
          <w:rFonts w:hint="eastAsia" w:ascii="仿宋" w:hAnsi="仿宋" w:eastAsia="仿宋" w:cs="仿宋"/>
          <w:sz w:val="32"/>
          <w:szCs w:val="32"/>
        </w:rPr>
        <w:t>长以下人员出差须有</w:t>
      </w:r>
      <w:r>
        <w:rPr>
          <w:rFonts w:hint="eastAsia" w:ascii="仿宋" w:hAnsi="仿宋" w:eastAsia="仿宋" w:cs="仿宋"/>
          <w:sz w:val="32"/>
          <w:szCs w:val="32"/>
          <w:lang w:val="en-US" w:eastAsia="zh-CN"/>
        </w:rPr>
        <w:t>股</w:t>
      </w:r>
      <w:r>
        <w:rPr>
          <w:rFonts w:hint="eastAsia" w:ascii="仿宋" w:hAnsi="仿宋" w:eastAsia="仿宋" w:cs="仿宋"/>
          <w:sz w:val="32"/>
          <w:szCs w:val="32"/>
        </w:rPr>
        <w:t>长签名，由财会人员复核后报分管财务的局领导审批报销。办公室应对差旅费报销进行审核把关，确保票据来源合规合法，内容真实完整。其中：1、城市交通费按乘坐公共交通工具凭据报销，订票费、经批准的签转费或退票费、乘坐交通工具的意外保险费凭据报销；2、住宿费在标准限之内凭发票据实报销；3、伙食补助费和市内交通费按规定标准报销。未按照规定开支的差旅费由个人自理。对未经批准擅自出差的人员不予报销差旅费。</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560" w:lineRule="exact"/>
        <w:jc w:val="center"/>
        <w:rPr>
          <w:rFonts w:ascii="仿宋_GB2312" w:eastAsia="仿宋_GB2312"/>
          <w:b/>
          <w:sz w:val="44"/>
          <w:szCs w:val="44"/>
        </w:rPr>
      </w:pPr>
      <w:r>
        <w:rPr>
          <w:rFonts w:hint="eastAsia" w:ascii="仿宋_GB2312" w:eastAsia="仿宋_GB2312"/>
          <w:b/>
          <w:sz w:val="44"/>
          <w:szCs w:val="44"/>
        </w:rPr>
        <w:t>出差审批单</w:t>
      </w: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出差人姓名</w:t>
            </w:r>
          </w:p>
        </w:tc>
        <w:tc>
          <w:tcPr>
            <w:tcW w:w="6840" w:type="dxa"/>
            <w:tcBorders>
              <w:top w:val="single" w:color="auto" w:sz="4" w:space="0"/>
              <w:left w:val="single" w:color="auto" w:sz="4" w:space="0"/>
              <w:bottom w:val="single" w:color="auto" w:sz="4" w:space="0"/>
              <w:right w:val="single" w:color="auto" w:sz="4" w:space="0"/>
            </w:tcBorders>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32"/>
                <w:szCs w:val="32"/>
              </w:rPr>
            </w:pPr>
            <w:r>
              <w:rPr>
                <w:rFonts w:hint="eastAsia" w:ascii="仿宋_GB2312" w:eastAsia="仿宋_GB2312"/>
                <w:sz w:val="32"/>
                <w:szCs w:val="32"/>
              </w:rPr>
              <w:t>出差时间</w:t>
            </w:r>
          </w:p>
        </w:tc>
        <w:tc>
          <w:tcPr>
            <w:tcW w:w="6840" w:type="dxa"/>
            <w:tcBorders>
              <w:top w:val="single" w:color="auto" w:sz="4" w:space="0"/>
              <w:left w:val="single" w:color="auto" w:sz="4" w:space="0"/>
              <w:bottom w:val="single" w:color="auto" w:sz="4" w:space="0"/>
              <w:right w:val="single" w:color="auto" w:sz="4" w:space="0"/>
            </w:tcBorders>
          </w:tcPr>
          <w:p>
            <w:pPr>
              <w:ind w:firstLine="800" w:firstLineChars="250"/>
              <w:rPr>
                <w:rFonts w:ascii="仿宋_GB2312" w:eastAsia="仿宋_GB2312"/>
                <w:sz w:val="32"/>
                <w:szCs w:val="32"/>
              </w:rPr>
            </w:pPr>
            <w:r>
              <w:rPr>
                <w:rFonts w:hint="eastAsia" w:ascii="仿宋_GB2312" w:eastAsia="仿宋_GB2312"/>
                <w:sz w:val="32"/>
                <w:szCs w:val="32"/>
              </w:rPr>
              <w:t>年月日</w:t>
            </w:r>
            <w:r>
              <w:rPr>
                <w:rFonts w:ascii="仿宋_GB2312" w:eastAsia="仿宋_GB2312"/>
                <w:sz w:val="32"/>
                <w:szCs w:val="32"/>
              </w:rPr>
              <w:t>—</w:t>
            </w:r>
            <w:r>
              <w:rPr>
                <w:rFonts w:hint="eastAsia" w:ascii="仿宋_GB2312" w:eastAsia="仿宋_GB2312"/>
                <w:sz w:val="32"/>
                <w:szCs w:val="32"/>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32"/>
                <w:szCs w:val="32"/>
              </w:rPr>
            </w:pPr>
            <w:r>
              <w:rPr>
                <w:rFonts w:hint="eastAsia" w:ascii="仿宋_GB2312" w:eastAsia="仿宋_GB2312"/>
                <w:sz w:val="32"/>
                <w:szCs w:val="32"/>
              </w:rPr>
              <w:t>出差地点</w:t>
            </w:r>
          </w:p>
        </w:tc>
        <w:tc>
          <w:tcPr>
            <w:tcW w:w="6840" w:type="dxa"/>
            <w:tcBorders>
              <w:top w:val="single" w:color="auto" w:sz="4" w:space="0"/>
              <w:left w:val="single" w:color="auto" w:sz="4" w:space="0"/>
              <w:bottom w:val="single" w:color="auto" w:sz="4" w:space="0"/>
              <w:right w:val="single" w:color="auto" w:sz="4" w:space="0"/>
            </w:tcBorders>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出差事由</w:t>
            </w:r>
          </w:p>
        </w:tc>
        <w:tc>
          <w:tcPr>
            <w:tcW w:w="6840" w:type="dxa"/>
            <w:tcBorders>
              <w:top w:val="single" w:color="auto" w:sz="4" w:space="0"/>
              <w:left w:val="single" w:color="auto" w:sz="4" w:space="0"/>
              <w:bottom w:val="single" w:color="auto" w:sz="4" w:space="0"/>
              <w:right w:val="single" w:color="auto" w:sz="4" w:space="0"/>
            </w:tcBorders>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乘坐交通</w:t>
            </w:r>
          </w:p>
          <w:p>
            <w:pPr>
              <w:jc w:val="center"/>
              <w:rPr>
                <w:rFonts w:ascii="仿宋_GB2312" w:eastAsia="仿宋_GB2312"/>
                <w:sz w:val="32"/>
                <w:szCs w:val="32"/>
              </w:rPr>
            </w:pPr>
            <w:r>
              <w:rPr>
                <w:rFonts w:hint="eastAsia" w:ascii="仿宋_GB2312" w:eastAsia="仿宋_GB2312"/>
                <w:sz w:val="32"/>
                <w:szCs w:val="32"/>
              </w:rPr>
              <w:t>工具</w:t>
            </w:r>
          </w:p>
        </w:tc>
        <w:tc>
          <w:tcPr>
            <w:tcW w:w="684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2"/>
                <w:szCs w:val="32"/>
              </w:rPr>
            </w:pPr>
            <w:r>
              <w:rPr>
                <w:rFonts w:hint="eastAsia" w:ascii="仿宋_GB2312" w:eastAsia="仿宋_GB2312"/>
                <w:sz w:val="32"/>
                <w:szCs w:val="32"/>
              </w:rPr>
              <w:t>1.□飞机□火车□高铁 □汽车□轮船□其他________</w:t>
            </w:r>
          </w:p>
          <w:p>
            <w:pPr>
              <w:rPr>
                <w:rFonts w:ascii="仿宋_GB2312" w:eastAsia="仿宋_GB2312"/>
                <w:sz w:val="32"/>
                <w:szCs w:val="32"/>
              </w:rPr>
            </w:pPr>
            <w:r>
              <w:rPr>
                <w:rFonts w:hint="eastAsia" w:ascii="仿宋_GB2312" w:eastAsia="仿宋_GB2312"/>
                <w:sz w:val="32"/>
                <w:szCs w:val="32"/>
              </w:rPr>
              <w:t>2.单位派车：   车号：司机：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lang w:val="en-US" w:eastAsia="zh-CN"/>
              </w:rPr>
              <w:t>股</w:t>
            </w:r>
            <w:r>
              <w:rPr>
                <w:rFonts w:hint="eastAsia" w:ascii="仿宋_GB2312" w:eastAsia="仿宋_GB2312"/>
                <w:sz w:val="32"/>
                <w:szCs w:val="32"/>
              </w:rPr>
              <w:t>室负责人</w:t>
            </w:r>
          </w:p>
          <w:p>
            <w:pPr>
              <w:jc w:val="center"/>
              <w:rPr>
                <w:rFonts w:ascii="仿宋_GB2312" w:eastAsia="仿宋_GB2312"/>
                <w:sz w:val="32"/>
                <w:szCs w:val="32"/>
              </w:rPr>
            </w:pPr>
            <w:r>
              <w:rPr>
                <w:rFonts w:hint="eastAsia" w:ascii="仿宋_GB2312" w:eastAsia="仿宋_GB2312"/>
                <w:sz w:val="32"/>
                <w:szCs w:val="32"/>
              </w:rPr>
              <w:t>意见</w:t>
            </w:r>
          </w:p>
        </w:tc>
        <w:tc>
          <w:tcPr>
            <w:tcW w:w="6840" w:type="dxa"/>
            <w:tcBorders>
              <w:top w:val="single" w:color="auto" w:sz="4" w:space="0"/>
              <w:left w:val="single" w:color="auto" w:sz="4" w:space="0"/>
              <w:bottom w:val="single" w:color="auto" w:sz="4" w:space="0"/>
              <w:right w:val="single" w:color="auto" w:sz="4" w:space="0"/>
            </w:tcBorders>
            <w:vAlign w:val="center"/>
          </w:tcPr>
          <w:p>
            <w:pPr>
              <w:ind w:firstLine="4480" w:firstLineChars="140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32"/>
                <w:szCs w:val="32"/>
              </w:rPr>
            </w:pPr>
            <w:r>
              <w:rPr>
                <w:rFonts w:hint="eastAsia" w:ascii="仿宋_GB2312" w:eastAsia="仿宋_GB2312"/>
                <w:sz w:val="32"/>
                <w:szCs w:val="32"/>
              </w:rPr>
              <w:t>分管领导</w:t>
            </w:r>
          </w:p>
          <w:p>
            <w:pPr>
              <w:spacing w:line="0" w:lineRule="atLeast"/>
              <w:jc w:val="center"/>
              <w:rPr>
                <w:rFonts w:ascii="仿宋_GB2312" w:eastAsia="仿宋_GB2312"/>
                <w:sz w:val="32"/>
                <w:szCs w:val="32"/>
              </w:rPr>
            </w:pPr>
            <w:r>
              <w:rPr>
                <w:rFonts w:hint="eastAsia" w:ascii="仿宋_GB2312" w:eastAsia="仿宋_GB2312"/>
                <w:sz w:val="32"/>
                <w:szCs w:val="32"/>
              </w:rPr>
              <w:t>意   见</w:t>
            </w:r>
          </w:p>
        </w:tc>
        <w:tc>
          <w:tcPr>
            <w:tcW w:w="6840" w:type="dxa"/>
            <w:tcBorders>
              <w:top w:val="single" w:color="auto" w:sz="4" w:space="0"/>
              <w:left w:val="single" w:color="auto" w:sz="4" w:space="0"/>
              <w:bottom w:val="single" w:color="auto" w:sz="4" w:space="0"/>
              <w:right w:val="single" w:color="auto" w:sz="4" w:space="0"/>
            </w:tcBorders>
          </w:tcPr>
          <w:p>
            <w:pPr>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2160" w:type="dxa"/>
            <w:vAlign w:val="center"/>
          </w:tcPr>
          <w:p>
            <w:pPr>
              <w:spacing w:line="0" w:lineRule="atLeast"/>
              <w:jc w:val="center"/>
              <w:rPr>
                <w:rFonts w:ascii="仿宋_GB2312" w:eastAsia="仿宋_GB2312"/>
                <w:sz w:val="32"/>
                <w:szCs w:val="32"/>
              </w:rPr>
            </w:pPr>
            <w:r>
              <w:rPr>
                <w:rFonts w:hint="eastAsia" w:ascii="仿宋_GB2312" w:eastAsia="仿宋_GB2312"/>
                <w:sz w:val="32"/>
                <w:szCs w:val="32"/>
              </w:rPr>
              <w:t>局长审批</w:t>
            </w:r>
          </w:p>
        </w:tc>
        <w:tc>
          <w:tcPr>
            <w:tcW w:w="6840" w:type="dxa"/>
          </w:tcPr>
          <w:p>
            <w:pPr>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160" w:type="dxa"/>
            <w:vAlign w:val="center"/>
          </w:tcPr>
          <w:p>
            <w:pPr>
              <w:spacing w:line="0" w:lineRule="atLeast"/>
              <w:jc w:val="center"/>
              <w:rPr>
                <w:rFonts w:ascii="仿宋_GB2312" w:eastAsia="仿宋_GB2312"/>
                <w:sz w:val="32"/>
                <w:szCs w:val="32"/>
              </w:rPr>
            </w:pPr>
            <w:r>
              <w:rPr>
                <w:rFonts w:hint="eastAsia" w:ascii="仿宋_GB2312" w:eastAsia="仿宋_GB2312"/>
                <w:sz w:val="32"/>
                <w:szCs w:val="32"/>
              </w:rPr>
              <w:t>备注</w:t>
            </w:r>
          </w:p>
        </w:tc>
        <w:tc>
          <w:tcPr>
            <w:tcW w:w="6840" w:type="dxa"/>
          </w:tcPr>
          <w:p>
            <w:pPr>
              <w:rPr>
                <w:rFonts w:ascii="仿宋_GB2312" w:eastAsia="仿宋_GB2312"/>
                <w:sz w:val="32"/>
                <w:szCs w:val="32"/>
              </w:rPr>
            </w:pPr>
          </w:p>
        </w:tc>
      </w:tr>
    </w:tbl>
    <w:p>
      <w:pPr>
        <w:spacing w:line="0" w:lineRule="atLeast"/>
        <w:ind w:firstLine="640" w:firstLineChars="200"/>
        <w:rPr>
          <w:rFonts w:ascii="仿宋_GB2312" w:eastAsia="仿宋_GB2312"/>
          <w:sz w:val="32"/>
          <w:szCs w:val="32"/>
        </w:rPr>
      </w:pPr>
      <w:r>
        <w:rPr>
          <w:rFonts w:hint="eastAsia" w:ascii="仿宋_GB2312" w:eastAsia="仿宋_GB2312"/>
          <w:sz w:val="32"/>
          <w:szCs w:val="32"/>
        </w:rPr>
        <w:t>注：此表作报销差旅费凭证。</w:t>
      </w:r>
    </w:p>
    <w:p>
      <w:pPr>
        <w:adjustRightInd/>
        <w:snapToGrid/>
        <w:spacing w:after="0" w:line="600" w:lineRule="exact"/>
        <w:jc w:val="center"/>
        <w:rPr>
          <w:rFonts w:hint="eastAsia" w:asciiTheme="majorEastAsia" w:hAnsiTheme="majorEastAsia" w:eastAsiaTheme="majorEastAsia"/>
          <w:b/>
          <w:color w:val="FF0000"/>
          <w:sz w:val="44"/>
          <w:szCs w:val="44"/>
        </w:rPr>
      </w:pPr>
    </w:p>
    <w:p>
      <w:pPr>
        <w:adjustRightInd/>
        <w:snapToGrid/>
        <w:spacing w:after="0" w:line="600" w:lineRule="exact"/>
        <w:jc w:val="center"/>
        <w:rPr>
          <w:rFonts w:hint="eastAsia" w:asciiTheme="majorEastAsia" w:hAnsiTheme="majorEastAsia" w:eastAsiaTheme="majorEastAsia"/>
          <w:b/>
          <w:color w:val="FF0000"/>
          <w:sz w:val="44"/>
          <w:szCs w:val="44"/>
        </w:rPr>
      </w:pPr>
    </w:p>
    <w:p>
      <w:pPr>
        <w:adjustRightInd/>
        <w:snapToGrid/>
        <w:spacing w:after="0" w:line="600" w:lineRule="exact"/>
        <w:jc w:val="center"/>
        <w:rPr>
          <w:rFonts w:hint="eastAsia" w:asciiTheme="majorEastAsia" w:hAnsiTheme="majorEastAsia" w:eastAsiaTheme="majorEastAsia"/>
          <w:b/>
          <w:color w:val="FF0000"/>
          <w:sz w:val="44"/>
          <w:szCs w:val="44"/>
        </w:rPr>
      </w:pPr>
    </w:p>
    <w:p>
      <w:pPr>
        <w:adjustRightInd/>
        <w:snapToGrid/>
        <w:spacing w:after="0" w:line="600" w:lineRule="exact"/>
        <w:jc w:val="center"/>
        <w:rPr>
          <w:rFonts w:hint="eastAsia"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会议费管理制度</w:t>
      </w:r>
    </w:p>
    <w:p>
      <w:pPr>
        <w:spacing w:line="580" w:lineRule="exact"/>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为认真贯彻落实中央八项规定精神，规范局机关会议费管理，精简会议, 改进会风，提高会议效率和质量，节约会议经费开支，根据</w:t>
      </w:r>
      <w:r>
        <w:rPr>
          <w:rFonts w:hint="eastAsia" w:ascii="仿宋" w:hAnsi="仿宋" w:eastAsia="仿宋" w:cs="仿宋"/>
          <w:sz w:val="32"/>
          <w:szCs w:val="32"/>
          <w:lang w:val="en-US" w:eastAsia="zh-CN"/>
        </w:rPr>
        <w:t>县委办、县府办</w:t>
      </w:r>
      <w:r>
        <w:rPr>
          <w:rFonts w:hint="eastAsia" w:ascii="仿宋" w:hAnsi="仿宋" w:eastAsia="仿宋" w:cs="仿宋"/>
          <w:sz w:val="32"/>
          <w:szCs w:val="32"/>
        </w:rPr>
        <w:t>《</w:t>
      </w:r>
      <w:r>
        <w:rPr>
          <w:rFonts w:hint="eastAsia" w:ascii="仿宋" w:hAnsi="仿宋" w:eastAsia="仿宋" w:cs="仿宋"/>
          <w:sz w:val="32"/>
          <w:szCs w:val="32"/>
          <w:lang w:val="en-US" w:eastAsia="zh-CN"/>
        </w:rPr>
        <w:t>关于印发丰顺县县直</w:t>
      </w:r>
      <w:r>
        <w:rPr>
          <w:rFonts w:hint="eastAsia" w:ascii="仿宋" w:hAnsi="仿宋" w:eastAsia="仿宋" w:cs="仿宋"/>
          <w:sz w:val="32"/>
          <w:szCs w:val="32"/>
        </w:rPr>
        <w:t>党政机关和事业单位会议费管理办法》（</w:t>
      </w:r>
      <w:r>
        <w:rPr>
          <w:rFonts w:hint="eastAsia" w:ascii="仿宋" w:hAnsi="仿宋" w:eastAsia="仿宋" w:cs="仿宋"/>
          <w:sz w:val="32"/>
          <w:szCs w:val="32"/>
          <w:lang w:val="en-US" w:eastAsia="zh-CN"/>
        </w:rPr>
        <w:t>丰委办</w:t>
      </w:r>
      <w:r>
        <w:rPr>
          <w:rFonts w:hint="eastAsia" w:ascii="仿宋" w:hAnsi="仿宋" w:eastAsia="仿宋" w:cs="仿宋"/>
          <w:sz w:val="32"/>
          <w:szCs w:val="32"/>
        </w:rPr>
        <w:t>〔201</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56</w:t>
      </w:r>
      <w:r>
        <w:rPr>
          <w:rFonts w:hint="eastAsia" w:ascii="仿宋" w:hAnsi="仿宋" w:eastAsia="仿宋" w:cs="仿宋"/>
          <w:sz w:val="32"/>
          <w:szCs w:val="32"/>
        </w:rPr>
        <w:t>号）规定，</w:t>
      </w:r>
      <w:r>
        <w:rPr>
          <w:rFonts w:hint="eastAsia" w:ascii="仿宋" w:hAnsi="仿宋" w:eastAsia="仿宋" w:cs="仿宋"/>
          <w:sz w:val="32"/>
          <w:szCs w:val="32"/>
          <w:lang w:val="en-US" w:eastAsia="zh-CN"/>
        </w:rPr>
        <w:t>制</w:t>
      </w:r>
      <w:r>
        <w:rPr>
          <w:rFonts w:hint="eastAsia" w:ascii="仿宋" w:hAnsi="仿宋" w:eastAsia="仿宋" w:cs="仿宋"/>
          <w:sz w:val="32"/>
          <w:szCs w:val="32"/>
        </w:rPr>
        <w:t>订本制度。</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一、局机关应当树立过“紧日子”思想，坚持厉行节约原则，严格会议费预算管理，按标准细化编制会议费预算，控制会议费预算规模，执行中不得突破。会议费应当纳入年初预算计划，并单独列示。</w:t>
      </w:r>
    </w:p>
    <w:p>
      <w:pPr>
        <w:keepNext w:val="0"/>
        <w:keepLines w:val="0"/>
        <w:pageBreakBefore w:val="0"/>
        <w:widowControl/>
        <w:kinsoku/>
        <w:wordWrap/>
        <w:overflowPunct/>
        <w:topLinePunct w:val="0"/>
        <w:autoSpaceDE/>
        <w:autoSpaceDN/>
        <w:bidi w:val="0"/>
        <w:adjustRightInd w:val="0"/>
        <w:snapToGrid w:val="0"/>
        <w:spacing w:after="0" w:line="60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二、会议按分类执行审批程序</w:t>
      </w:r>
    </w:p>
    <w:p>
      <w:pPr>
        <w:keepNext w:val="0"/>
        <w:keepLines w:val="0"/>
        <w:pageBreakBefore w:val="0"/>
        <w:widowControl/>
        <w:kinsoku/>
        <w:wordWrap/>
        <w:overflowPunct/>
        <w:topLinePunct w:val="0"/>
        <w:autoSpaceDE/>
        <w:autoSpaceDN/>
        <w:bidi w:val="0"/>
        <w:adjustRightInd w:val="0"/>
        <w:snapToGrid w:val="0"/>
        <w:spacing w:after="0" w:line="60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一类会议（略）。</w:t>
      </w:r>
    </w:p>
    <w:p>
      <w:pPr>
        <w:keepNext w:val="0"/>
        <w:keepLines w:val="0"/>
        <w:pageBreakBefore w:val="0"/>
        <w:widowControl/>
        <w:kinsoku/>
        <w:wordWrap/>
        <w:overflowPunct/>
        <w:topLinePunct w:val="0"/>
        <w:autoSpaceDE/>
        <w:autoSpaceDN/>
        <w:bidi w:val="0"/>
        <w:adjustRightInd w:val="0"/>
        <w:snapToGrid w:val="0"/>
        <w:spacing w:after="0" w:line="60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二类会议由举办单位按程序分别报</w:t>
      </w:r>
      <w:r>
        <w:rPr>
          <w:rFonts w:hint="eastAsia" w:ascii="仿宋" w:hAnsi="仿宋" w:eastAsia="仿宋" w:cs="仿宋"/>
          <w:sz w:val="32"/>
          <w:szCs w:val="32"/>
          <w:lang w:val="en-US" w:eastAsia="zh-CN"/>
        </w:rPr>
        <w:t>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人大、</w:t>
      </w:r>
      <w:r>
        <w:rPr>
          <w:rFonts w:hint="eastAsia" w:ascii="仿宋" w:hAnsi="仿宋" w:eastAsia="仿宋" w:cs="仿宋"/>
          <w:sz w:val="32"/>
          <w:szCs w:val="32"/>
          <w:lang w:val="en-US" w:eastAsia="zh-CN"/>
        </w:rPr>
        <w:t>县</w:t>
      </w:r>
      <w:r>
        <w:rPr>
          <w:rFonts w:hint="eastAsia" w:ascii="仿宋" w:hAnsi="仿宋" w:eastAsia="仿宋" w:cs="仿宋"/>
          <w:sz w:val="32"/>
          <w:szCs w:val="32"/>
        </w:rPr>
        <w:t>政府和</w:t>
      </w:r>
      <w:r>
        <w:rPr>
          <w:rFonts w:hint="eastAsia" w:ascii="仿宋" w:hAnsi="仿宋" w:eastAsia="仿宋" w:cs="仿宋"/>
          <w:sz w:val="32"/>
          <w:szCs w:val="32"/>
          <w:lang w:val="en-US" w:eastAsia="zh-CN"/>
        </w:rPr>
        <w:t>县</w:t>
      </w:r>
      <w:r>
        <w:rPr>
          <w:rFonts w:hint="eastAsia" w:ascii="仿宋" w:hAnsi="仿宋" w:eastAsia="仿宋" w:cs="仿宋"/>
          <w:sz w:val="32"/>
          <w:szCs w:val="32"/>
        </w:rPr>
        <w:t>政协批准。其中，以</w:t>
      </w:r>
      <w:r>
        <w:rPr>
          <w:rFonts w:hint="eastAsia" w:ascii="仿宋" w:hAnsi="仿宋" w:eastAsia="仿宋" w:cs="仿宋"/>
          <w:sz w:val="32"/>
          <w:szCs w:val="32"/>
          <w:lang w:val="en-US" w:eastAsia="zh-CN"/>
        </w:rPr>
        <w:t>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政府名义召开的会议应列入年度全</w:t>
      </w:r>
      <w:r>
        <w:rPr>
          <w:rFonts w:hint="eastAsia" w:ascii="仿宋" w:hAnsi="仿宋" w:eastAsia="仿宋" w:cs="仿宋"/>
          <w:sz w:val="32"/>
          <w:szCs w:val="32"/>
          <w:lang w:val="en-US" w:eastAsia="zh-CN"/>
        </w:rPr>
        <w:t>县</w:t>
      </w:r>
      <w:r>
        <w:rPr>
          <w:rFonts w:hint="eastAsia" w:ascii="仿宋" w:hAnsi="仿宋" w:eastAsia="仿宋" w:cs="仿宋"/>
          <w:sz w:val="32"/>
          <w:szCs w:val="32"/>
        </w:rPr>
        <w:t>性会议安排计划。未列入年度会议计划的，原则上不得以</w:t>
      </w:r>
      <w:r>
        <w:rPr>
          <w:rFonts w:hint="eastAsia" w:ascii="仿宋" w:hAnsi="仿宋" w:eastAsia="仿宋" w:cs="仿宋"/>
          <w:sz w:val="32"/>
          <w:szCs w:val="32"/>
          <w:lang w:val="en-US" w:eastAsia="zh-CN"/>
        </w:rPr>
        <w:t>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市政府名义召开，但</w:t>
      </w:r>
      <w:r>
        <w:rPr>
          <w:rFonts w:hint="eastAsia" w:ascii="仿宋" w:hAnsi="仿宋" w:eastAsia="仿宋" w:cs="仿宋"/>
          <w:sz w:val="32"/>
          <w:szCs w:val="32"/>
          <w:lang w:val="en-US" w:eastAsia="zh-CN"/>
        </w:rPr>
        <w:t>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政府临时决定召开的会议除外。</w:t>
      </w:r>
    </w:p>
    <w:p>
      <w:pPr>
        <w:keepNext w:val="0"/>
        <w:keepLines w:val="0"/>
        <w:pageBreakBefore w:val="0"/>
        <w:widowControl/>
        <w:kinsoku/>
        <w:wordWrap/>
        <w:overflowPunct/>
        <w:topLinePunct w:val="0"/>
        <w:autoSpaceDE/>
        <w:autoSpaceDN/>
        <w:bidi w:val="0"/>
        <w:adjustRightInd w:val="0"/>
        <w:snapToGrid w:val="0"/>
        <w:spacing w:after="0" w:line="60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三类会议由举办单位建立会议计划编报和审批制度。</w:t>
      </w:r>
      <w:r>
        <w:rPr>
          <w:rFonts w:hint="eastAsia" w:ascii="仿宋" w:hAnsi="仿宋" w:eastAsia="仿宋" w:cs="仿宋"/>
          <w:sz w:val="32"/>
          <w:szCs w:val="32"/>
          <w:lang w:val="en-US" w:eastAsia="zh-CN"/>
        </w:rPr>
        <w:t>会议举办单位具体承办部门应当编报年度会议计划，详细列明</w:t>
      </w:r>
      <w:r>
        <w:rPr>
          <w:rFonts w:hint="eastAsia" w:ascii="仿宋" w:hAnsi="仿宋" w:eastAsia="仿宋" w:cs="仿宋"/>
          <w:sz w:val="32"/>
          <w:szCs w:val="32"/>
        </w:rPr>
        <w:t>会议名称、</w:t>
      </w:r>
      <w:r>
        <w:rPr>
          <w:rFonts w:hint="eastAsia" w:ascii="仿宋" w:hAnsi="仿宋" w:eastAsia="仿宋" w:cs="仿宋"/>
          <w:sz w:val="32"/>
          <w:szCs w:val="32"/>
          <w:lang w:val="en-US" w:eastAsia="zh-CN"/>
        </w:rPr>
        <w:t>日程安排、时间、地点、代表及工作人员数、经费预算及列支渠道等事项，经办公室审核后，由办公室编制年度会议总量计划报单位领导办公会议审批</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临时召开的计划外会议应由承办</w:t>
      </w:r>
      <w:r>
        <w:rPr>
          <w:rFonts w:hint="eastAsia" w:ascii="仿宋_GB2312" w:eastAsia="仿宋_GB2312"/>
          <w:sz w:val="32"/>
          <w:szCs w:val="32"/>
          <w:lang w:val="en-US" w:eastAsia="zh-CN"/>
        </w:rPr>
        <w:t>股</w:t>
      </w:r>
      <w:r>
        <w:rPr>
          <w:rFonts w:hint="eastAsia" w:ascii="仿宋" w:hAnsi="仿宋" w:eastAsia="仿宋" w:cs="仿宋"/>
          <w:sz w:val="32"/>
          <w:szCs w:val="32"/>
        </w:rPr>
        <w:t>室提出申请、补列预算，经办公室审核并报分管领导会签、局长批准。</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三、局机关应当严格控制会议规模，缩减会议时间，压减参会人员，不安排与会议内容无关单位和个人参会。三类会议会期不超过半天，与会不超过100人。除有文件</w:t>
      </w:r>
      <w:r>
        <w:rPr>
          <w:rFonts w:hint="eastAsia" w:ascii="仿宋" w:hAnsi="仿宋" w:eastAsia="仿宋" w:cs="仿宋"/>
          <w:sz w:val="32"/>
          <w:szCs w:val="32"/>
          <w:lang w:val="en-US" w:eastAsia="zh-CN"/>
        </w:rPr>
        <w:t>明确</w:t>
      </w:r>
      <w:r>
        <w:rPr>
          <w:rFonts w:hint="eastAsia" w:ascii="仿宋" w:hAnsi="仿宋" w:eastAsia="仿宋" w:cs="仿宋"/>
          <w:sz w:val="32"/>
          <w:szCs w:val="32"/>
        </w:rPr>
        <w:t>规定</w:t>
      </w:r>
      <w:r>
        <w:rPr>
          <w:rFonts w:hint="eastAsia" w:ascii="仿宋" w:hAnsi="仿宋" w:eastAsia="仿宋" w:cs="仿宋"/>
          <w:sz w:val="32"/>
          <w:szCs w:val="32"/>
          <w:lang w:val="en-US" w:eastAsia="zh-CN"/>
        </w:rPr>
        <w:t>要求</w:t>
      </w:r>
      <w:r>
        <w:rPr>
          <w:rFonts w:hint="eastAsia" w:ascii="仿宋" w:hAnsi="仿宋" w:eastAsia="仿宋" w:cs="仿宋"/>
          <w:sz w:val="32"/>
          <w:szCs w:val="32"/>
        </w:rPr>
        <w:t>外，</w:t>
      </w:r>
      <w:r>
        <w:rPr>
          <w:rFonts w:hint="eastAsia" w:ascii="仿宋" w:hAnsi="仿宋" w:eastAsia="仿宋" w:cs="仿宋"/>
          <w:sz w:val="32"/>
          <w:szCs w:val="32"/>
          <w:lang w:val="en-US" w:eastAsia="zh-CN"/>
        </w:rPr>
        <w:t>二、三类会议工作人员应控制在会议代表人数的10%以内</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会议所在地的代表、工作人员以及代表随行司机一律不安排食宿，不发放任何费用，符合所在单位差旅费规定的，回所在单位报销。</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的召开地点应遵循有利于会议工作部署和就近原则到党政机关出差和会议的定点饭店召开会议。三类会议应当在四星级以下（含四星）定点饭店召开。未纳入定点范围，价格低于会议综合定额标准的单位内部宾馆、招待所、礼堂、会议室，可优先作为本单位或本系统会议场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会议所在地没有县定点饭店，或定点饭店因特殊情况无法承接的，举办单位可在非定点饭店召开会议，在会议费综合定额内据实报销会议费。不得到党中央、国务院明令禁止召开会议的风景名胜等地方召开会议。</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五、会议费开支范围包括伙食费、住宿费、会议场地租金、文件</w:t>
      </w:r>
      <w:r>
        <w:rPr>
          <w:rFonts w:hint="eastAsia" w:ascii="仿宋" w:hAnsi="仿宋" w:eastAsia="仿宋" w:cs="仿宋"/>
          <w:sz w:val="32"/>
          <w:szCs w:val="32"/>
          <w:lang w:val="en-US" w:eastAsia="zh-CN"/>
        </w:rPr>
        <w:t>资料</w:t>
      </w:r>
      <w:r>
        <w:rPr>
          <w:rFonts w:hint="eastAsia" w:ascii="仿宋" w:hAnsi="仿宋" w:eastAsia="仿宋" w:cs="仿宋"/>
          <w:sz w:val="32"/>
          <w:szCs w:val="32"/>
        </w:rPr>
        <w:t>印刷费、</w:t>
      </w:r>
      <w:r>
        <w:rPr>
          <w:rFonts w:hint="eastAsia" w:ascii="仿宋" w:hAnsi="仿宋" w:eastAsia="仿宋" w:cs="仿宋"/>
          <w:sz w:val="32"/>
          <w:szCs w:val="32"/>
          <w:lang w:val="en-US" w:eastAsia="zh-CN"/>
        </w:rPr>
        <w:t>举办单位同意安排的交通支出等其他费用</w:t>
      </w:r>
      <w:r>
        <w:rPr>
          <w:rFonts w:hint="eastAsia" w:ascii="仿宋" w:hAnsi="仿宋" w:eastAsia="仿宋" w:cs="仿宋"/>
          <w:sz w:val="32"/>
          <w:szCs w:val="32"/>
        </w:rPr>
        <w:t>。未经批准的项目不得列入会议费开支内容。二类会议费综合定额标准：</w:t>
      </w:r>
      <w:r>
        <w:rPr>
          <w:rFonts w:hint="eastAsia" w:ascii="仿宋" w:hAnsi="仿宋" w:eastAsia="仿宋" w:cs="仿宋"/>
          <w:sz w:val="32"/>
          <w:szCs w:val="32"/>
          <w:lang w:val="en-US" w:eastAsia="zh-CN"/>
        </w:rPr>
        <w:t>250</w:t>
      </w:r>
      <w:r>
        <w:rPr>
          <w:rFonts w:hint="eastAsia" w:ascii="仿宋" w:hAnsi="仿宋" w:eastAsia="仿宋" w:cs="仿宋"/>
          <w:sz w:val="32"/>
          <w:szCs w:val="32"/>
        </w:rPr>
        <w:t>元/天/人，其中：住宿费</w:t>
      </w:r>
      <w:r>
        <w:rPr>
          <w:rFonts w:hint="eastAsia" w:ascii="仿宋" w:hAnsi="仿宋" w:eastAsia="仿宋" w:cs="仿宋"/>
          <w:sz w:val="32"/>
          <w:szCs w:val="32"/>
          <w:lang w:val="en-US" w:eastAsia="zh-CN"/>
        </w:rPr>
        <w:t>120</w:t>
      </w:r>
      <w:r>
        <w:rPr>
          <w:rFonts w:hint="eastAsia" w:ascii="仿宋" w:hAnsi="仿宋" w:eastAsia="仿宋" w:cs="仿宋"/>
          <w:sz w:val="32"/>
          <w:szCs w:val="32"/>
        </w:rPr>
        <w:t>元、伙食费</w:t>
      </w:r>
      <w:r>
        <w:rPr>
          <w:rFonts w:hint="eastAsia" w:ascii="仿宋" w:hAnsi="仿宋" w:eastAsia="仿宋" w:cs="仿宋"/>
          <w:sz w:val="32"/>
          <w:szCs w:val="32"/>
          <w:lang w:val="en-US" w:eastAsia="zh-CN"/>
        </w:rPr>
        <w:t>100</w:t>
      </w:r>
      <w:r>
        <w:rPr>
          <w:rFonts w:hint="eastAsia" w:ascii="仿宋" w:hAnsi="仿宋" w:eastAsia="仿宋" w:cs="仿宋"/>
          <w:sz w:val="32"/>
          <w:szCs w:val="32"/>
        </w:rPr>
        <w:t>元、其他费用30元；三类会议费综合定额标准：</w:t>
      </w:r>
      <w:r>
        <w:rPr>
          <w:rFonts w:hint="eastAsia" w:ascii="仿宋" w:hAnsi="仿宋" w:eastAsia="仿宋" w:cs="仿宋"/>
          <w:sz w:val="32"/>
          <w:szCs w:val="32"/>
          <w:lang w:val="en-US" w:eastAsia="zh-CN"/>
        </w:rPr>
        <w:t>250</w:t>
      </w:r>
      <w:r>
        <w:rPr>
          <w:rFonts w:hint="eastAsia" w:ascii="仿宋" w:hAnsi="仿宋" w:eastAsia="仿宋" w:cs="仿宋"/>
          <w:sz w:val="32"/>
          <w:szCs w:val="32"/>
        </w:rPr>
        <w:t>元/天/人，其中：住宿费</w:t>
      </w:r>
      <w:r>
        <w:rPr>
          <w:rFonts w:hint="eastAsia" w:ascii="仿宋" w:hAnsi="仿宋" w:eastAsia="仿宋" w:cs="仿宋"/>
          <w:sz w:val="32"/>
          <w:szCs w:val="32"/>
          <w:lang w:val="en-US" w:eastAsia="zh-CN"/>
        </w:rPr>
        <w:t>120</w:t>
      </w:r>
      <w:r>
        <w:rPr>
          <w:rFonts w:hint="eastAsia" w:ascii="仿宋" w:hAnsi="仿宋" w:eastAsia="仿宋" w:cs="仿宋"/>
          <w:sz w:val="32"/>
          <w:szCs w:val="32"/>
        </w:rPr>
        <w:t>元、伙食费1</w:t>
      </w:r>
      <w:r>
        <w:rPr>
          <w:rFonts w:hint="eastAsia" w:ascii="仿宋" w:hAnsi="仿宋" w:eastAsia="仿宋" w:cs="仿宋"/>
          <w:sz w:val="32"/>
          <w:szCs w:val="32"/>
          <w:lang w:val="en-US" w:eastAsia="zh-CN"/>
        </w:rPr>
        <w:t>00</w:t>
      </w:r>
      <w:r>
        <w:rPr>
          <w:rFonts w:hint="eastAsia" w:ascii="仿宋" w:hAnsi="仿宋" w:eastAsia="仿宋" w:cs="仿宋"/>
          <w:sz w:val="32"/>
          <w:szCs w:val="32"/>
        </w:rPr>
        <w:t>元、其他费用30元。</w:t>
      </w:r>
      <w:r>
        <w:rPr>
          <w:rFonts w:hint="eastAsia" w:ascii="仿宋" w:hAnsi="仿宋" w:eastAsia="仿宋" w:cs="仿宋"/>
          <w:sz w:val="32"/>
          <w:szCs w:val="32"/>
          <w:lang w:val="en-US" w:eastAsia="zh-CN"/>
        </w:rPr>
        <w:t>综合定额标准是会议费开支的上限，各项费用之间可以调剂使用。</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会议代表及工作人员报到或返程在途期间发生的伙食费、住宿费、城市间交通费等，按差旅费管理办法回原单位报销。</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六、严禁借会议名义组织会餐或安排宴请；</w:t>
      </w:r>
      <w:r>
        <w:rPr>
          <w:rFonts w:hint="eastAsia" w:ascii="仿宋" w:hAnsi="仿宋" w:eastAsia="仿宋" w:cs="仿宋"/>
          <w:sz w:val="32"/>
          <w:szCs w:val="32"/>
          <w:lang w:val="en-US" w:eastAsia="zh-CN"/>
        </w:rPr>
        <w:t>不得组织会议代表游览及与会议无关的参观</w:t>
      </w:r>
      <w:r>
        <w:rPr>
          <w:rFonts w:hint="eastAsia" w:ascii="仿宋" w:hAnsi="仿宋" w:eastAsia="仿宋" w:cs="仿宋"/>
          <w:sz w:val="32"/>
          <w:szCs w:val="32"/>
        </w:rPr>
        <w:t>，严禁在会议费中列支公务接待费。</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严格执行会议用房标准，</w:t>
      </w:r>
      <w:r>
        <w:rPr>
          <w:rFonts w:hint="eastAsia" w:ascii="仿宋" w:hAnsi="仿宋" w:eastAsia="仿宋" w:cs="仿宋"/>
          <w:sz w:val="32"/>
          <w:szCs w:val="32"/>
          <w:lang w:val="en-US" w:eastAsia="zh-CN"/>
        </w:rPr>
        <w:t>以标准间为主，处级干部安排单人标准间，其他人员两人一间</w:t>
      </w:r>
      <w:r>
        <w:rPr>
          <w:rFonts w:hint="eastAsia" w:ascii="仿宋" w:hAnsi="仿宋" w:eastAsia="仿宋" w:cs="仿宋"/>
          <w:sz w:val="32"/>
          <w:szCs w:val="32"/>
        </w:rPr>
        <w:t>；会议用餐严格控制菜品种类、数量和份量，严禁提供高档菜肴、烟酒；会议会场</w:t>
      </w:r>
      <w:r>
        <w:rPr>
          <w:rFonts w:hint="eastAsia" w:ascii="仿宋" w:hAnsi="仿宋" w:eastAsia="仿宋" w:cs="仿宋"/>
          <w:sz w:val="32"/>
          <w:szCs w:val="32"/>
          <w:lang w:val="en-US" w:eastAsia="zh-CN"/>
        </w:rPr>
        <w:t>布置俭朴实用，</w:t>
      </w:r>
      <w:r>
        <w:rPr>
          <w:rFonts w:hint="eastAsia" w:ascii="仿宋" w:hAnsi="仿宋" w:eastAsia="仿宋" w:cs="仿宋"/>
          <w:sz w:val="32"/>
          <w:szCs w:val="32"/>
        </w:rPr>
        <w:t>一律不摆花草。</w:t>
      </w:r>
      <w:r>
        <w:rPr>
          <w:rFonts w:hint="eastAsia" w:ascii="仿宋" w:hAnsi="仿宋" w:eastAsia="仿宋" w:cs="仿宋"/>
          <w:sz w:val="32"/>
          <w:szCs w:val="32"/>
          <w:lang w:val="en-US" w:eastAsia="zh-CN"/>
        </w:rPr>
        <w:t>减少会议用品支出，各类会议一律不发放纪念品。</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不得使用会议费购置电脑、复印机、打印机、传真机等固定资产以及开支与本次会议无关的费用；严禁组织高消费娱乐、健身活动。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七、会议应于召开前作出费用预算，填报《会议费用预算审批表》（见附件2），经办公室审核，呈会议主办</w:t>
      </w:r>
      <w:r>
        <w:rPr>
          <w:rFonts w:hint="eastAsia" w:ascii="仿宋" w:hAnsi="仿宋" w:eastAsia="仿宋" w:cs="仿宋"/>
          <w:sz w:val="32"/>
          <w:szCs w:val="32"/>
          <w:lang w:val="en-US" w:eastAsia="zh-CN"/>
        </w:rPr>
        <w:t>股</w:t>
      </w:r>
      <w:r>
        <w:rPr>
          <w:rFonts w:hint="eastAsia" w:ascii="仿宋" w:hAnsi="仿宋" w:eastAsia="仿宋" w:cs="仿宋"/>
          <w:sz w:val="32"/>
          <w:szCs w:val="32"/>
        </w:rPr>
        <w:t>室分管领导签署意见后报分管财务局领导审批后方可开支。会议召开后，相关</w:t>
      </w:r>
      <w:r>
        <w:rPr>
          <w:rFonts w:hint="eastAsia" w:ascii="仿宋" w:hAnsi="仿宋" w:eastAsia="仿宋" w:cs="仿宋"/>
          <w:sz w:val="32"/>
          <w:szCs w:val="32"/>
          <w:lang w:val="en-US" w:eastAsia="zh-CN"/>
        </w:rPr>
        <w:t>股</w:t>
      </w:r>
      <w:r>
        <w:rPr>
          <w:rFonts w:hint="eastAsia" w:ascii="仿宋" w:hAnsi="仿宋" w:eastAsia="仿宋" w:cs="仿宋"/>
          <w:sz w:val="32"/>
          <w:szCs w:val="32"/>
        </w:rPr>
        <w:t>室填写《会议用餐登记表》（见附件3），报办公室审核。</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会后主办</w:t>
      </w:r>
      <w:r>
        <w:rPr>
          <w:rFonts w:hint="eastAsia" w:ascii="仿宋" w:hAnsi="仿宋" w:eastAsia="仿宋" w:cs="仿宋"/>
          <w:sz w:val="32"/>
          <w:szCs w:val="32"/>
          <w:lang w:val="en-US" w:eastAsia="zh-CN"/>
        </w:rPr>
        <w:t>股</w:t>
      </w:r>
      <w:r>
        <w:rPr>
          <w:rFonts w:hint="eastAsia" w:ascii="仿宋" w:hAnsi="仿宋" w:eastAsia="仿宋" w:cs="仿宋"/>
          <w:sz w:val="32"/>
          <w:szCs w:val="32"/>
        </w:rPr>
        <w:t>室应及时会同办公室结算会议费，凭《会议费用预算审批表》、《用餐登记表》、会议通知、参会人员签到表、费用原始明细单据、电脑打印的税票等电子结算票据等按照管理权限办理报批手续。</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八、会议费支付严格执行国库集中支付和公务卡使用规定，使用公务卡或银行转账结算。</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局机关应当将非涉密会议的名称、主要内容、参会人数、经费开支等情况在单位内部公示或提供查询，具备条件的应当向社会公开。</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九、其他未做规定的，按照</w:t>
      </w:r>
      <w:r>
        <w:rPr>
          <w:rFonts w:hint="eastAsia" w:ascii="仿宋" w:hAnsi="仿宋" w:eastAsia="仿宋" w:cs="仿宋"/>
          <w:sz w:val="32"/>
          <w:szCs w:val="32"/>
          <w:lang w:val="en-US" w:eastAsia="zh-CN"/>
        </w:rPr>
        <w:t>县委办、县府办</w:t>
      </w:r>
      <w:r>
        <w:rPr>
          <w:rFonts w:hint="eastAsia" w:ascii="仿宋" w:hAnsi="仿宋" w:eastAsia="仿宋" w:cs="仿宋"/>
          <w:sz w:val="32"/>
          <w:szCs w:val="32"/>
        </w:rPr>
        <w:t>《关于印发&lt;</w:t>
      </w:r>
      <w:r>
        <w:rPr>
          <w:rFonts w:hint="eastAsia" w:ascii="仿宋" w:hAnsi="仿宋" w:eastAsia="仿宋" w:cs="仿宋"/>
          <w:sz w:val="32"/>
          <w:szCs w:val="32"/>
          <w:lang w:val="en-US" w:eastAsia="zh-CN"/>
        </w:rPr>
        <w:t>丰顺县县</w:t>
      </w:r>
      <w:r>
        <w:rPr>
          <w:rFonts w:hint="eastAsia" w:ascii="仿宋" w:hAnsi="仿宋" w:eastAsia="仿宋" w:cs="仿宋"/>
          <w:sz w:val="32"/>
          <w:szCs w:val="32"/>
        </w:rPr>
        <w:t>直党政机关和事业单位会议费管理办法&gt;的通知》（</w:t>
      </w:r>
      <w:r>
        <w:rPr>
          <w:rFonts w:hint="eastAsia" w:ascii="仿宋" w:hAnsi="仿宋" w:eastAsia="仿宋" w:cs="仿宋"/>
          <w:sz w:val="32"/>
          <w:szCs w:val="32"/>
          <w:lang w:val="en-US" w:eastAsia="zh-CN"/>
        </w:rPr>
        <w:t>丰委办</w:t>
      </w:r>
      <w:r>
        <w:rPr>
          <w:rFonts w:hint="eastAsia" w:ascii="仿宋" w:hAnsi="仿宋" w:eastAsia="仿宋" w:cs="仿宋"/>
          <w:sz w:val="32"/>
          <w:szCs w:val="32"/>
        </w:rPr>
        <w:t>〔201</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56</w:t>
      </w:r>
      <w:r>
        <w:rPr>
          <w:rFonts w:hint="eastAsia" w:ascii="仿宋" w:hAnsi="仿宋" w:eastAsia="仿宋" w:cs="仿宋"/>
          <w:sz w:val="32"/>
          <w:szCs w:val="32"/>
        </w:rPr>
        <w:t>号）规定执行。</w:t>
      </w:r>
    </w:p>
    <w:p>
      <w:pPr>
        <w:ind w:firstLine="640" w:firstLineChars="2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.年度拟召开的全市系统工作会议计划表</w:t>
      </w:r>
    </w:p>
    <w:p>
      <w:pPr>
        <w:ind w:firstLine="1600" w:firstLineChars="500"/>
        <w:rPr>
          <w:rFonts w:ascii="仿宋_GB2312" w:eastAsia="仿宋_GB2312"/>
          <w:sz w:val="32"/>
          <w:szCs w:val="32"/>
        </w:rPr>
      </w:pPr>
      <w:r>
        <w:rPr>
          <w:rFonts w:hint="eastAsia" w:ascii="仿宋_GB2312" w:eastAsia="仿宋_GB2312"/>
          <w:sz w:val="32"/>
          <w:szCs w:val="32"/>
        </w:rPr>
        <w:t>2.会议费用预算审批表</w:t>
      </w:r>
    </w:p>
    <w:p>
      <w:pPr>
        <w:ind w:firstLine="1600" w:firstLineChars="500"/>
        <w:rPr>
          <w:rFonts w:ascii="仿宋_GB2312" w:eastAsia="仿宋_GB2312"/>
          <w:sz w:val="32"/>
          <w:szCs w:val="32"/>
        </w:rPr>
      </w:pPr>
      <w:r>
        <w:rPr>
          <w:rFonts w:hint="eastAsia" w:ascii="仿宋_GB2312" w:eastAsia="仿宋_GB2312"/>
          <w:sz w:val="32"/>
          <w:szCs w:val="32"/>
        </w:rPr>
        <w:t>3.会议用餐登记表</w:t>
      </w: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tbl>
      <w:tblPr>
        <w:tblStyle w:val="11"/>
        <w:tblW w:w="10080" w:type="dxa"/>
        <w:tblInd w:w="93" w:type="dxa"/>
        <w:tblLayout w:type="fixed"/>
        <w:tblCellMar>
          <w:top w:w="0" w:type="dxa"/>
          <w:left w:w="108" w:type="dxa"/>
          <w:bottom w:w="0" w:type="dxa"/>
          <w:right w:w="108" w:type="dxa"/>
        </w:tblCellMar>
      </w:tblPr>
      <w:tblGrid>
        <w:gridCol w:w="732"/>
        <w:gridCol w:w="968"/>
        <w:gridCol w:w="1140"/>
        <w:gridCol w:w="1280"/>
        <w:gridCol w:w="1060"/>
        <w:gridCol w:w="1100"/>
        <w:gridCol w:w="1120"/>
        <w:gridCol w:w="860"/>
        <w:gridCol w:w="936"/>
        <w:gridCol w:w="884"/>
      </w:tblGrid>
      <w:tr>
        <w:tblPrEx>
          <w:tblLayout w:type="fixed"/>
          <w:tblCellMar>
            <w:top w:w="0" w:type="dxa"/>
            <w:left w:w="108" w:type="dxa"/>
            <w:bottom w:w="0" w:type="dxa"/>
            <w:right w:w="108" w:type="dxa"/>
          </w:tblCellMar>
        </w:tblPrEx>
        <w:trPr>
          <w:trHeight w:val="585" w:hRule="atLeast"/>
        </w:trPr>
        <w:tc>
          <w:tcPr>
            <w:tcW w:w="1700" w:type="dxa"/>
            <w:gridSpan w:val="2"/>
            <w:tcBorders>
              <w:top w:val="nil"/>
              <w:left w:val="nil"/>
              <w:bottom w:val="nil"/>
              <w:right w:val="nil"/>
            </w:tcBorders>
            <w:shd w:val="clear" w:color="auto" w:fill="auto"/>
            <w:noWrap/>
            <w:vAlign w:val="center"/>
          </w:tcPr>
          <w:p>
            <w:pPr>
              <w:adjustRightInd/>
              <w:snapToGrid/>
              <w:spacing w:after="0"/>
              <w:rPr>
                <w:rFonts w:ascii="宋体" w:hAnsi="宋体" w:eastAsia="宋体" w:cs="宋体"/>
                <w:color w:val="000000"/>
                <w:sz w:val="24"/>
                <w:szCs w:val="24"/>
              </w:rPr>
            </w:pPr>
            <w:r>
              <w:rPr>
                <w:rFonts w:hint="eastAsia" w:ascii="仿宋_GB2312" w:eastAsia="仿宋_GB2312"/>
                <w:sz w:val="32"/>
                <w:szCs w:val="32"/>
              </w:rPr>
              <w:t>附件1：</w:t>
            </w:r>
          </w:p>
        </w:tc>
        <w:tc>
          <w:tcPr>
            <w:tcW w:w="1140"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sz w:val="24"/>
                <w:szCs w:val="24"/>
              </w:rPr>
            </w:pPr>
          </w:p>
        </w:tc>
        <w:tc>
          <w:tcPr>
            <w:tcW w:w="1280"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sz w:val="24"/>
                <w:szCs w:val="24"/>
              </w:rPr>
            </w:pPr>
          </w:p>
        </w:tc>
        <w:tc>
          <w:tcPr>
            <w:tcW w:w="1060"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sz w:val="24"/>
                <w:szCs w:val="24"/>
              </w:rPr>
            </w:pPr>
          </w:p>
        </w:tc>
        <w:tc>
          <w:tcPr>
            <w:tcW w:w="1100"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sz w:val="24"/>
                <w:szCs w:val="24"/>
              </w:rPr>
            </w:pPr>
          </w:p>
        </w:tc>
        <w:tc>
          <w:tcPr>
            <w:tcW w:w="1120"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sz w:val="24"/>
                <w:szCs w:val="24"/>
              </w:rPr>
            </w:pPr>
          </w:p>
        </w:tc>
        <w:tc>
          <w:tcPr>
            <w:tcW w:w="860"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sz w:val="24"/>
                <w:szCs w:val="24"/>
              </w:rPr>
            </w:pPr>
          </w:p>
        </w:tc>
        <w:tc>
          <w:tcPr>
            <w:tcW w:w="936"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sz w:val="24"/>
                <w:szCs w:val="24"/>
              </w:rPr>
            </w:pPr>
          </w:p>
        </w:tc>
        <w:tc>
          <w:tcPr>
            <w:tcW w:w="884" w:type="dxa"/>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color w:val="000000"/>
                <w:sz w:val="24"/>
                <w:szCs w:val="24"/>
              </w:rPr>
            </w:pPr>
          </w:p>
        </w:tc>
      </w:tr>
      <w:tr>
        <w:tblPrEx>
          <w:tblLayout w:type="fixed"/>
          <w:tblCellMar>
            <w:top w:w="0" w:type="dxa"/>
            <w:left w:w="108" w:type="dxa"/>
            <w:bottom w:w="0" w:type="dxa"/>
            <w:right w:w="108" w:type="dxa"/>
          </w:tblCellMar>
        </w:tblPrEx>
        <w:trPr>
          <w:trHeight w:val="900" w:hRule="atLeast"/>
        </w:trPr>
        <w:tc>
          <w:tcPr>
            <w:tcW w:w="10080" w:type="dxa"/>
            <w:gridSpan w:val="10"/>
            <w:tcBorders>
              <w:top w:val="nil"/>
              <w:left w:val="nil"/>
              <w:bottom w:val="single" w:color="auto" w:sz="4" w:space="0"/>
              <w:right w:val="nil"/>
            </w:tcBorders>
            <w:shd w:val="clear" w:color="auto" w:fill="auto"/>
            <w:vAlign w:val="center"/>
          </w:tcPr>
          <w:p>
            <w:pPr>
              <w:adjustRightInd/>
              <w:snapToGrid/>
              <w:spacing w:after="0"/>
              <w:jc w:val="center"/>
              <w:rPr>
                <w:rFonts w:ascii="宋体" w:hAnsi="宋体" w:eastAsia="宋体" w:cs="宋体"/>
                <w:b/>
                <w:bCs/>
                <w:color w:val="000000"/>
                <w:sz w:val="44"/>
                <w:szCs w:val="44"/>
              </w:rPr>
            </w:pPr>
            <w:r>
              <w:rPr>
                <w:rFonts w:hint="eastAsia" w:ascii="宋体" w:hAnsi="宋体" w:eastAsia="宋体" w:cs="宋体"/>
                <w:b/>
                <w:bCs/>
                <w:color w:val="000000"/>
                <w:sz w:val="48"/>
                <w:szCs w:val="48"/>
              </w:rPr>
              <w:t xml:space="preserve"> </w:t>
            </w:r>
            <w:r>
              <w:rPr>
                <w:rFonts w:hint="eastAsia" w:ascii="仿宋_GB2312" w:eastAsia="仿宋_GB2312"/>
                <w:sz w:val="44"/>
                <w:szCs w:val="44"/>
              </w:rPr>
              <w:t>（）年度拟召开的全</w:t>
            </w:r>
            <w:r>
              <w:rPr>
                <w:rFonts w:hint="eastAsia" w:ascii="仿宋_GB2312" w:eastAsia="仿宋_GB2312"/>
                <w:sz w:val="44"/>
                <w:szCs w:val="44"/>
                <w:lang w:val="en-US" w:eastAsia="zh-CN"/>
              </w:rPr>
              <w:t>县</w:t>
            </w:r>
            <w:r>
              <w:rPr>
                <w:rFonts w:hint="eastAsia" w:ascii="仿宋_GB2312" w:eastAsia="仿宋_GB2312"/>
                <w:sz w:val="44"/>
                <w:szCs w:val="44"/>
              </w:rPr>
              <w:t>医保系统工作会议计划表</w:t>
            </w:r>
          </w:p>
        </w:tc>
      </w:tr>
      <w:tr>
        <w:tblPrEx>
          <w:tblLayout w:type="fixed"/>
          <w:tblCellMar>
            <w:top w:w="0" w:type="dxa"/>
            <w:left w:w="108" w:type="dxa"/>
            <w:bottom w:w="0" w:type="dxa"/>
            <w:right w:w="108" w:type="dxa"/>
          </w:tblCellMar>
        </w:tblPrEx>
        <w:trPr>
          <w:trHeight w:val="900" w:hRule="atLeast"/>
        </w:trPr>
        <w:tc>
          <w:tcPr>
            <w:tcW w:w="73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序号</w:t>
            </w:r>
          </w:p>
        </w:tc>
        <w:tc>
          <w:tcPr>
            <w:tcW w:w="96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股</w:t>
            </w:r>
            <w:r>
              <w:rPr>
                <w:rFonts w:hint="eastAsia" w:asciiTheme="minorEastAsia" w:hAnsiTheme="minorEastAsia" w:eastAsiaTheme="minorEastAsia" w:cstheme="minorEastAsia"/>
                <w:sz w:val="24"/>
                <w:szCs w:val="24"/>
              </w:rPr>
              <w:t>室</w:t>
            </w:r>
          </w:p>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11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w:t>
            </w:r>
          </w:p>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召开</w:t>
            </w:r>
          </w:p>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理由</w:t>
            </w:r>
          </w:p>
        </w:tc>
        <w:tc>
          <w:tcPr>
            <w:tcW w:w="10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会议主要内容</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初定时间及地点</w:t>
            </w:r>
          </w:p>
        </w:tc>
        <w:tc>
          <w:tcPr>
            <w:tcW w:w="112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参会人员（代表人数）</w:t>
            </w:r>
          </w:p>
        </w:tc>
        <w:tc>
          <w:tcPr>
            <w:tcW w:w="8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工作人员数</w:t>
            </w:r>
          </w:p>
        </w:tc>
        <w:tc>
          <w:tcPr>
            <w:tcW w:w="93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经费</w:t>
            </w:r>
          </w:p>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预算（元）</w:t>
            </w:r>
          </w:p>
        </w:tc>
        <w:tc>
          <w:tcPr>
            <w:tcW w:w="884"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列支</w:t>
            </w:r>
          </w:p>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渠道</w:t>
            </w:r>
          </w:p>
        </w:tc>
      </w:tr>
      <w:tr>
        <w:tblPrEx>
          <w:tblLayout w:type="fixed"/>
          <w:tblCellMar>
            <w:top w:w="0" w:type="dxa"/>
            <w:left w:w="108" w:type="dxa"/>
            <w:bottom w:w="0" w:type="dxa"/>
            <w:right w:w="108" w:type="dxa"/>
          </w:tblCellMar>
        </w:tblPrEx>
        <w:trPr>
          <w:trHeight w:val="1335" w:hRule="atLeast"/>
        </w:trPr>
        <w:tc>
          <w:tcPr>
            <w:tcW w:w="73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w:t>
            </w:r>
          </w:p>
        </w:tc>
        <w:tc>
          <w:tcPr>
            <w:tcW w:w="968"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8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　</w:t>
            </w:r>
          </w:p>
        </w:tc>
        <w:tc>
          <w:tcPr>
            <w:tcW w:w="93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　</w:t>
            </w:r>
          </w:p>
        </w:tc>
        <w:tc>
          <w:tcPr>
            <w:tcW w:w="884"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本单位经费列支</w:t>
            </w:r>
          </w:p>
        </w:tc>
      </w:tr>
      <w:tr>
        <w:tblPrEx>
          <w:tblLayout w:type="fixed"/>
          <w:tblCellMar>
            <w:top w:w="0" w:type="dxa"/>
            <w:left w:w="108" w:type="dxa"/>
            <w:bottom w:w="0" w:type="dxa"/>
            <w:right w:w="108" w:type="dxa"/>
          </w:tblCellMar>
        </w:tblPrEx>
        <w:trPr>
          <w:trHeight w:val="1260" w:hRule="atLeast"/>
        </w:trPr>
        <w:tc>
          <w:tcPr>
            <w:tcW w:w="73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w:t>
            </w:r>
          </w:p>
        </w:tc>
        <w:tc>
          <w:tcPr>
            <w:tcW w:w="968"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8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93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884"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本单位经费列支</w:t>
            </w:r>
          </w:p>
        </w:tc>
      </w:tr>
      <w:tr>
        <w:tblPrEx>
          <w:tblLayout w:type="fixed"/>
          <w:tblCellMar>
            <w:top w:w="0" w:type="dxa"/>
            <w:left w:w="108" w:type="dxa"/>
            <w:bottom w:w="0" w:type="dxa"/>
            <w:right w:w="108" w:type="dxa"/>
          </w:tblCellMar>
        </w:tblPrEx>
        <w:trPr>
          <w:trHeight w:val="1320" w:hRule="atLeast"/>
        </w:trPr>
        <w:tc>
          <w:tcPr>
            <w:tcW w:w="73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3</w:t>
            </w:r>
          </w:p>
        </w:tc>
        <w:tc>
          <w:tcPr>
            <w:tcW w:w="968"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8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93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884"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本单位经费列支</w:t>
            </w:r>
          </w:p>
        </w:tc>
      </w:tr>
      <w:tr>
        <w:tblPrEx>
          <w:tblLayout w:type="fixed"/>
          <w:tblCellMar>
            <w:top w:w="0" w:type="dxa"/>
            <w:left w:w="108" w:type="dxa"/>
            <w:bottom w:w="0" w:type="dxa"/>
            <w:right w:w="108" w:type="dxa"/>
          </w:tblCellMar>
        </w:tblPrEx>
        <w:trPr>
          <w:trHeight w:val="1200" w:hRule="atLeast"/>
        </w:trPr>
        <w:tc>
          <w:tcPr>
            <w:tcW w:w="73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968"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8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93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884"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本单位经费列支</w:t>
            </w:r>
          </w:p>
        </w:tc>
      </w:tr>
      <w:tr>
        <w:tblPrEx>
          <w:tblLayout w:type="fixed"/>
          <w:tblCellMar>
            <w:top w:w="0" w:type="dxa"/>
            <w:left w:w="108" w:type="dxa"/>
            <w:bottom w:w="0" w:type="dxa"/>
            <w:right w:w="108" w:type="dxa"/>
          </w:tblCellMar>
        </w:tblPrEx>
        <w:trPr>
          <w:trHeight w:val="960" w:hRule="atLeast"/>
        </w:trPr>
        <w:tc>
          <w:tcPr>
            <w:tcW w:w="73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5</w:t>
            </w:r>
          </w:p>
        </w:tc>
        <w:tc>
          <w:tcPr>
            <w:tcW w:w="968"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14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86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93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w:t>
            </w:r>
          </w:p>
        </w:tc>
        <w:tc>
          <w:tcPr>
            <w:tcW w:w="884"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本单位经费列支</w:t>
            </w:r>
          </w:p>
        </w:tc>
      </w:tr>
    </w:tbl>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ascii="仿宋_GB2312" w:hAnsi="Tahoma" w:cstheme="minorBidi"/>
          <w:kern w:val="0"/>
          <w:szCs w:val="32"/>
        </w:rPr>
      </w:pPr>
    </w:p>
    <w:p>
      <w:pPr>
        <w:pStyle w:val="27"/>
        <w:spacing w:line="560" w:lineRule="exact"/>
        <w:jc w:val="left"/>
        <w:rPr>
          <w:rFonts w:hint="eastAsia" w:ascii="仿宋_GB2312" w:hAnsi="Tahoma" w:cstheme="minorBidi"/>
          <w:kern w:val="0"/>
          <w:szCs w:val="32"/>
        </w:rPr>
      </w:pPr>
    </w:p>
    <w:p>
      <w:pPr>
        <w:pStyle w:val="27"/>
        <w:spacing w:line="560" w:lineRule="exact"/>
        <w:jc w:val="left"/>
        <w:rPr>
          <w:rFonts w:ascii="仿宋_GB2312" w:hAnsi="Tahoma" w:cstheme="minorBidi"/>
          <w:kern w:val="0"/>
          <w:szCs w:val="32"/>
        </w:rPr>
      </w:pPr>
      <w:r>
        <w:rPr>
          <w:rFonts w:hint="eastAsia" w:ascii="仿宋_GB2312" w:hAnsi="Tahoma" w:cstheme="minorBidi"/>
          <w:kern w:val="0"/>
          <w:szCs w:val="32"/>
        </w:rPr>
        <w:t>附件2</w:t>
      </w:r>
    </w:p>
    <w:p>
      <w:pPr>
        <w:pStyle w:val="27"/>
        <w:spacing w:line="560" w:lineRule="exact"/>
        <w:jc w:val="center"/>
        <w:rPr>
          <w:rFonts w:ascii="仿宋_GB2312" w:hAnsi="Tahoma" w:cstheme="minorBidi"/>
          <w:kern w:val="0"/>
          <w:sz w:val="44"/>
          <w:szCs w:val="44"/>
        </w:rPr>
      </w:pPr>
      <w:r>
        <w:rPr>
          <w:rFonts w:hint="eastAsia" w:ascii="仿宋_GB2312" w:hAnsi="Tahoma" w:cstheme="minorBidi"/>
          <w:kern w:val="0"/>
          <w:sz w:val="44"/>
          <w:szCs w:val="44"/>
        </w:rPr>
        <w:t>会议费用预算审批表</w:t>
      </w:r>
    </w:p>
    <w:p>
      <w:pPr>
        <w:pStyle w:val="27"/>
        <w:spacing w:beforeLines="100" w:line="560" w:lineRule="exact"/>
        <w:rPr>
          <w:rFonts w:ascii="仿宋_GB2312" w:hAnsi="Tahoma" w:cstheme="minorBidi"/>
          <w:kern w:val="0"/>
          <w:szCs w:val="32"/>
        </w:rPr>
      </w:pPr>
      <w:r>
        <w:rPr>
          <w:rFonts w:hint="eastAsia" w:ascii="仿宋_GB2312" w:hAnsi="Tahoma" w:cstheme="minorBidi"/>
          <w:kern w:val="0"/>
          <w:szCs w:val="32"/>
        </w:rPr>
        <w:t>填表日期：       年  月  日       经办人：</w:t>
      </w:r>
    </w:p>
    <w:tbl>
      <w:tblPr>
        <w:tblStyle w:val="11"/>
        <w:tblW w:w="10177" w:type="dxa"/>
        <w:jc w:val="center"/>
        <w:tblInd w:w="0" w:type="dxa"/>
        <w:tblLayout w:type="fixed"/>
        <w:tblCellMar>
          <w:top w:w="0" w:type="dxa"/>
          <w:left w:w="108" w:type="dxa"/>
          <w:bottom w:w="0" w:type="dxa"/>
          <w:right w:w="108" w:type="dxa"/>
        </w:tblCellMar>
      </w:tblPr>
      <w:tblGrid>
        <w:gridCol w:w="3332"/>
        <w:gridCol w:w="1825"/>
        <w:gridCol w:w="1141"/>
        <w:gridCol w:w="1142"/>
        <w:gridCol w:w="712"/>
        <w:gridCol w:w="2025"/>
      </w:tblGrid>
      <w:tr>
        <w:tblPrEx>
          <w:tblLayout w:type="fixed"/>
          <w:tblCellMar>
            <w:top w:w="0" w:type="dxa"/>
            <w:left w:w="108" w:type="dxa"/>
            <w:bottom w:w="0" w:type="dxa"/>
            <w:right w:w="108" w:type="dxa"/>
          </w:tblCellMar>
        </w:tblPrEx>
        <w:trPr>
          <w:trHeight w:val="914" w:hRule="atLeast"/>
          <w:jc w:val="center"/>
        </w:trPr>
        <w:tc>
          <w:tcPr>
            <w:tcW w:w="3332" w:type="dxa"/>
            <w:tcBorders>
              <w:top w:val="single" w:color="auto" w:sz="4" w:space="0"/>
              <w:left w:val="single" w:color="auto" w:sz="4" w:space="0"/>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会议主办</w:t>
            </w:r>
            <w:r>
              <w:rPr>
                <w:rFonts w:hint="eastAsia" w:ascii="仿宋_GB2312" w:hAnsi="Tahoma" w:cstheme="minorBidi"/>
                <w:kern w:val="0"/>
                <w:szCs w:val="32"/>
                <w:lang w:val="en-US" w:eastAsia="zh-CN"/>
              </w:rPr>
              <w:t>股</w:t>
            </w:r>
            <w:r>
              <w:rPr>
                <w:rFonts w:hint="eastAsia" w:ascii="仿宋_GB2312" w:hAnsi="Tahoma" w:cstheme="minorBidi"/>
                <w:kern w:val="0"/>
                <w:szCs w:val="32"/>
              </w:rPr>
              <w:t>室</w:t>
            </w:r>
          </w:p>
        </w:tc>
        <w:tc>
          <w:tcPr>
            <w:tcW w:w="1825" w:type="dxa"/>
            <w:tcBorders>
              <w:top w:val="single" w:color="auto" w:sz="4" w:space="0"/>
              <w:left w:val="nil"/>
              <w:bottom w:val="single" w:color="auto" w:sz="4" w:space="0"/>
              <w:right w:val="single" w:color="auto" w:sz="4" w:space="0"/>
            </w:tcBorders>
            <w:vAlign w:val="center"/>
          </w:tcPr>
          <w:p>
            <w:pPr>
              <w:pStyle w:val="27"/>
              <w:widowControl/>
              <w:spacing w:line="560" w:lineRule="exact"/>
              <w:jc w:val="left"/>
              <w:rPr>
                <w:rFonts w:ascii="仿宋_GB2312" w:hAnsi="Tahoma" w:cstheme="minorBidi"/>
                <w:kern w:val="0"/>
                <w:szCs w:val="32"/>
              </w:rPr>
            </w:pPr>
            <w:r>
              <w:rPr>
                <w:rFonts w:hint="eastAsia" w:ascii="仿宋_GB2312" w:hAnsi="Tahoma" w:cstheme="minorBidi"/>
                <w:kern w:val="0"/>
                <w:szCs w:val="32"/>
              </w:rPr>
              <w:t>　</w:t>
            </w:r>
          </w:p>
        </w:tc>
        <w:tc>
          <w:tcPr>
            <w:tcW w:w="2283" w:type="dxa"/>
            <w:gridSpan w:val="2"/>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会议时间</w:t>
            </w:r>
          </w:p>
        </w:tc>
        <w:tc>
          <w:tcPr>
            <w:tcW w:w="2737" w:type="dxa"/>
            <w:gridSpan w:val="2"/>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 xml:space="preserve"> 月  日--  月  日　</w:t>
            </w:r>
          </w:p>
        </w:tc>
      </w:tr>
      <w:tr>
        <w:tblPrEx>
          <w:tblLayout w:type="fixed"/>
          <w:tblCellMar>
            <w:top w:w="0" w:type="dxa"/>
            <w:left w:w="108" w:type="dxa"/>
            <w:bottom w:w="0" w:type="dxa"/>
            <w:right w:w="108" w:type="dxa"/>
          </w:tblCellMar>
        </w:tblPrEx>
        <w:trPr>
          <w:trHeight w:val="284" w:hRule="atLeast"/>
          <w:jc w:val="center"/>
        </w:trPr>
        <w:tc>
          <w:tcPr>
            <w:tcW w:w="3332" w:type="dxa"/>
            <w:tcBorders>
              <w:top w:val="nil"/>
              <w:left w:val="single" w:color="auto" w:sz="4" w:space="0"/>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会议内容</w:t>
            </w:r>
          </w:p>
        </w:tc>
        <w:tc>
          <w:tcPr>
            <w:tcW w:w="6845" w:type="dxa"/>
            <w:gridSpan w:val="5"/>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p>
        </w:tc>
      </w:tr>
      <w:tr>
        <w:tblPrEx>
          <w:tblLayout w:type="fixed"/>
          <w:tblCellMar>
            <w:top w:w="0" w:type="dxa"/>
            <w:left w:w="108" w:type="dxa"/>
            <w:bottom w:w="0" w:type="dxa"/>
            <w:right w:w="108" w:type="dxa"/>
          </w:tblCellMar>
        </w:tblPrEx>
        <w:trPr>
          <w:trHeight w:val="284" w:hRule="atLeast"/>
          <w:jc w:val="center"/>
        </w:trPr>
        <w:tc>
          <w:tcPr>
            <w:tcW w:w="3332" w:type="dxa"/>
            <w:vMerge w:val="restart"/>
            <w:tcBorders>
              <w:top w:val="nil"/>
              <w:left w:val="single" w:color="auto" w:sz="4" w:space="0"/>
              <w:right w:val="single" w:color="auto" w:sz="4" w:space="0"/>
            </w:tcBorders>
            <w:vAlign w:val="center"/>
          </w:tcPr>
          <w:p>
            <w:pPr>
              <w:pStyle w:val="27"/>
              <w:widowControl/>
              <w:spacing w:line="560" w:lineRule="exact"/>
              <w:ind w:firstLine="800" w:firstLineChars="250"/>
              <w:rPr>
                <w:rFonts w:ascii="仿宋_GB2312" w:hAnsi="Tahoma" w:cstheme="minorBidi"/>
                <w:kern w:val="0"/>
                <w:szCs w:val="32"/>
              </w:rPr>
            </w:pPr>
            <w:r>
              <w:rPr>
                <w:rFonts w:hint="eastAsia" w:ascii="仿宋_GB2312" w:hAnsi="Tahoma" w:cstheme="minorBidi"/>
                <w:kern w:val="0"/>
                <w:szCs w:val="32"/>
              </w:rPr>
              <w:t>会议地点</w:t>
            </w:r>
          </w:p>
        </w:tc>
        <w:tc>
          <w:tcPr>
            <w:tcW w:w="1825" w:type="dxa"/>
            <w:vMerge w:val="restart"/>
            <w:tcBorders>
              <w:top w:val="single" w:color="auto" w:sz="4" w:space="0"/>
              <w:left w:val="nil"/>
              <w:right w:val="single" w:color="auto" w:sz="4" w:space="0"/>
            </w:tcBorders>
            <w:vAlign w:val="center"/>
          </w:tcPr>
          <w:p>
            <w:pPr>
              <w:pStyle w:val="27"/>
              <w:widowControl/>
              <w:spacing w:line="560" w:lineRule="exact"/>
              <w:jc w:val="left"/>
              <w:rPr>
                <w:rFonts w:ascii="仿宋_GB2312" w:hAnsi="Tahoma" w:cstheme="minorBidi"/>
                <w:kern w:val="0"/>
                <w:szCs w:val="32"/>
              </w:rPr>
            </w:pPr>
          </w:p>
        </w:tc>
        <w:tc>
          <w:tcPr>
            <w:tcW w:w="1141" w:type="dxa"/>
            <w:vMerge w:val="restart"/>
            <w:tcBorders>
              <w:top w:val="single" w:color="auto" w:sz="4" w:space="0"/>
              <w:left w:val="nil"/>
              <w:right w:val="single" w:color="auto" w:sz="4" w:space="0"/>
            </w:tcBorders>
            <w:vAlign w:val="center"/>
          </w:tcPr>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参会代表人数</w:t>
            </w:r>
          </w:p>
        </w:tc>
        <w:tc>
          <w:tcPr>
            <w:tcW w:w="1854" w:type="dxa"/>
            <w:gridSpan w:val="2"/>
            <w:tcBorders>
              <w:top w:val="single" w:color="auto" w:sz="4" w:space="0"/>
              <w:left w:val="nil"/>
              <w:bottom w:val="single" w:color="auto" w:sz="4" w:space="0"/>
              <w:right w:val="single" w:color="auto" w:sz="4" w:space="0"/>
            </w:tcBorders>
            <w:vAlign w:val="center"/>
          </w:tcPr>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本地人数</w:t>
            </w:r>
          </w:p>
        </w:tc>
        <w:tc>
          <w:tcPr>
            <w:tcW w:w="2025" w:type="dxa"/>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p>
        </w:tc>
      </w:tr>
      <w:tr>
        <w:tblPrEx>
          <w:tblLayout w:type="fixed"/>
          <w:tblCellMar>
            <w:top w:w="0" w:type="dxa"/>
            <w:left w:w="108" w:type="dxa"/>
            <w:bottom w:w="0" w:type="dxa"/>
            <w:right w:w="108" w:type="dxa"/>
          </w:tblCellMar>
        </w:tblPrEx>
        <w:trPr>
          <w:trHeight w:val="284" w:hRule="atLeast"/>
          <w:jc w:val="center"/>
        </w:trPr>
        <w:tc>
          <w:tcPr>
            <w:tcW w:w="3332" w:type="dxa"/>
            <w:vMerge w:val="continue"/>
            <w:tcBorders>
              <w:left w:val="single" w:color="auto" w:sz="4" w:space="0"/>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p>
        </w:tc>
        <w:tc>
          <w:tcPr>
            <w:tcW w:w="1825" w:type="dxa"/>
            <w:vMerge w:val="continue"/>
            <w:tcBorders>
              <w:left w:val="nil"/>
              <w:bottom w:val="single" w:color="auto" w:sz="4" w:space="0"/>
              <w:right w:val="single" w:color="auto" w:sz="4" w:space="0"/>
            </w:tcBorders>
            <w:vAlign w:val="center"/>
          </w:tcPr>
          <w:p>
            <w:pPr>
              <w:pStyle w:val="27"/>
              <w:widowControl/>
              <w:spacing w:line="560" w:lineRule="exact"/>
              <w:jc w:val="left"/>
              <w:rPr>
                <w:rFonts w:ascii="仿宋_GB2312" w:hAnsi="Tahoma" w:cstheme="minorBidi"/>
                <w:kern w:val="0"/>
                <w:szCs w:val="32"/>
              </w:rPr>
            </w:pPr>
          </w:p>
        </w:tc>
        <w:tc>
          <w:tcPr>
            <w:tcW w:w="1141" w:type="dxa"/>
            <w:vMerge w:val="continue"/>
            <w:tcBorders>
              <w:left w:val="nil"/>
              <w:bottom w:val="single" w:color="auto" w:sz="4" w:space="0"/>
              <w:right w:val="single" w:color="auto" w:sz="4" w:space="0"/>
            </w:tcBorders>
            <w:vAlign w:val="center"/>
          </w:tcPr>
          <w:p>
            <w:pPr>
              <w:pStyle w:val="27"/>
              <w:widowControl/>
              <w:spacing w:line="400" w:lineRule="exact"/>
              <w:jc w:val="center"/>
              <w:rPr>
                <w:rFonts w:ascii="仿宋_GB2312" w:hAnsi="Tahoma" w:cstheme="minorBidi"/>
                <w:kern w:val="0"/>
                <w:szCs w:val="32"/>
              </w:rPr>
            </w:pPr>
          </w:p>
        </w:tc>
        <w:tc>
          <w:tcPr>
            <w:tcW w:w="1854" w:type="dxa"/>
            <w:gridSpan w:val="2"/>
            <w:tcBorders>
              <w:top w:val="single" w:color="auto" w:sz="4" w:space="0"/>
              <w:left w:val="nil"/>
              <w:bottom w:val="single" w:color="auto" w:sz="4" w:space="0"/>
              <w:right w:val="single" w:color="auto" w:sz="4" w:space="0"/>
            </w:tcBorders>
            <w:vAlign w:val="center"/>
          </w:tcPr>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外地人数</w:t>
            </w:r>
          </w:p>
        </w:tc>
        <w:tc>
          <w:tcPr>
            <w:tcW w:w="2025" w:type="dxa"/>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p>
        </w:tc>
      </w:tr>
      <w:tr>
        <w:tblPrEx>
          <w:tblLayout w:type="fixed"/>
          <w:tblCellMar>
            <w:top w:w="0" w:type="dxa"/>
            <w:left w:w="108" w:type="dxa"/>
            <w:bottom w:w="0" w:type="dxa"/>
            <w:right w:w="108" w:type="dxa"/>
          </w:tblCellMar>
        </w:tblPrEx>
        <w:trPr>
          <w:trHeight w:val="1150" w:hRule="exact"/>
          <w:jc w:val="center"/>
        </w:trPr>
        <w:tc>
          <w:tcPr>
            <w:tcW w:w="3332" w:type="dxa"/>
            <w:tcBorders>
              <w:top w:val="nil"/>
              <w:left w:val="single" w:color="auto" w:sz="4" w:space="0"/>
              <w:bottom w:val="single" w:color="auto" w:sz="4" w:space="0"/>
              <w:right w:val="single" w:color="auto" w:sz="4" w:space="0"/>
            </w:tcBorders>
            <w:vAlign w:val="center"/>
          </w:tcPr>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会议天数</w:t>
            </w:r>
          </w:p>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（含报到离会时间）</w:t>
            </w:r>
          </w:p>
        </w:tc>
        <w:tc>
          <w:tcPr>
            <w:tcW w:w="1825" w:type="dxa"/>
            <w:tcBorders>
              <w:top w:val="single" w:color="auto" w:sz="4" w:space="0"/>
              <w:left w:val="nil"/>
              <w:bottom w:val="single" w:color="auto" w:sz="4" w:space="0"/>
              <w:right w:val="single" w:color="auto" w:sz="4" w:space="0"/>
            </w:tcBorders>
            <w:vAlign w:val="center"/>
          </w:tcPr>
          <w:p>
            <w:pPr>
              <w:pStyle w:val="27"/>
              <w:widowControl/>
              <w:spacing w:line="560" w:lineRule="exact"/>
              <w:jc w:val="left"/>
              <w:rPr>
                <w:rFonts w:ascii="仿宋_GB2312" w:hAnsi="Tahoma" w:cstheme="minorBidi"/>
                <w:kern w:val="0"/>
                <w:szCs w:val="32"/>
              </w:rPr>
            </w:pPr>
          </w:p>
        </w:tc>
        <w:tc>
          <w:tcPr>
            <w:tcW w:w="2995" w:type="dxa"/>
            <w:gridSpan w:val="3"/>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工作人员人数</w:t>
            </w:r>
          </w:p>
        </w:tc>
        <w:tc>
          <w:tcPr>
            <w:tcW w:w="2025" w:type="dxa"/>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p>
        </w:tc>
      </w:tr>
      <w:tr>
        <w:tblPrEx>
          <w:tblLayout w:type="fixed"/>
          <w:tblCellMar>
            <w:top w:w="0" w:type="dxa"/>
            <w:left w:w="108" w:type="dxa"/>
            <w:bottom w:w="0" w:type="dxa"/>
            <w:right w:w="108" w:type="dxa"/>
          </w:tblCellMar>
        </w:tblPrEx>
        <w:trPr>
          <w:trHeight w:val="661" w:hRule="atLeast"/>
          <w:jc w:val="center"/>
        </w:trPr>
        <w:tc>
          <w:tcPr>
            <w:tcW w:w="3332" w:type="dxa"/>
            <w:vMerge w:val="restart"/>
            <w:tcBorders>
              <w:top w:val="nil"/>
              <w:left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经费预算</w:t>
            </w:r>
          </w:p>
          <w:p>
            <w:pPr>
              <w:pStyle w:val="27"/>
              <w:spacing w:line="560" w:lineRule="exact"/>
              <w:jc w:val="center"/>
              <w:rPr>
                <w:rFonts w:ascii="仿宋_GB2312" w:hAnsi="Tahoma" w:cstheme="minorBidi"/>
                <w:kern w:val="0"/>
                <w:szCs w:val="32"/>
              </w:rPr>
            </w:pPr>
            <w:r>
              <w:rPr>
                <w:rFonts w:hint="eastAsia" w:ascii="仿宋_GB2312" w:hAnsi="Tahoma" w:cstheme="minorBidi"/>
                <w:kern w:val="0"/>
                <w:szCs w:val="32"/>
              </w:rPr>
              <w:t>（实行综合定额</w:t>
            </w:r>
          </w:p>
          <w:p>
            <w:pPr>
              <w:pStyle w:val="27"/>
              <w:spacing w:line="560" w:lineRule="exact"/>
              <w:jc w:val="center"/>
              <w:rPr>
                <w:rFonts w:ascii="仿宋_GB2312" w:hAnsi="Tahoma" w:cstheme="minorBidi"/>
                <w:kern w:val="0"/>
                <w:szCs w:val="32"/>
              </w:rPr>
            </w:pPr>
            <w:r>
              <w:rPr>
                <w:rFonts w:hint="eastAsia" w:ascii="仿宋_GB2312" w:hAnsi="Tahoma" w:cstheme="minorBidi"/>
                <w:kern w:val="0"/>
                <w:szCs w:val="32"/>
              </w:rPr>
              <w:t>控制）</w:t>
            </w:r>
          </w:p>
        </w:tc>
        <w:tc>
          <w:tcPr>
            <w:tcW w:w="4820" w:type="dxa"/>
            <w:gridSpan w:val="4"/>
            <w:tcBorders>
              <w:top w:val="single" w:color="auto" w:sz="4" w:space="0"/>
              <w:left w:val="nil"/>
              <w:bottom w:val="single" w:color="auto" w:sz="4" w:space="0"/>
              <w:right w:val="single" w:color="auto" w:sz="4" w:space="0"/>
            </w:tcBorders>
            <w:vAlign w:val="center"/>
          </w:tcPr>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预   算  金  额</w:t>
            </w:r>
          </w:p>
        </w:tc>
        <w:tc>
          <w:tcPr>
            <w:tcW w:w="2025" w:type="dxa"/>
            <w:tcBorders>
              <w:top w:val="single" w:color="auto" w:sz="4" w:space="0"/>
              <w:left w:val="nil"/>
              <w:bottom w:val="single" w:color="auto" w:sz="4" w:space="0"/>
              <w:right w:val="single" w:color="auto" w:sz="4" w:space="0"/>
            </w:tcBorders>
            <w:vAlign w:val="center"/>
          </w:tcPr>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是否计划内</w:t>
            </w:r>
          </w:p>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会议</w:t>
            </w:r>
          </w:p>
        </w:tc>
      </w:tr>
      <w:tr>
        <w:tblPrEx>
          <w:tblLayout w:type="fixed"/>
          <w:tblCellMar>
            <w:top w:w="0" w:type="dxa"/>
            <w:left w:w="108" w:type="dxa"/>
            <w:bottom w:w="0" w:type="dxa"/>
            <w:right w:w="108" w:type="dxa"/>
          </w:tblCellMar>
        </w:tblPrEx>
        <w:trPr>
          <w:trHeight w:val="1126" w:hRule="atLeast"/>
          <w:jc w:val="center"/>
        </w:trPr>
        <w:tc>
          <w:tcPr>
            <w:tcW w:w="3332" w:type="dxa"/>
            <w:vMerge w:val="continue"/>
            <w:tcBorders>
              <w:left w:val="single" w:color="auto" w:sz="4" w:space="0"/>
              <w:right w:val="single" w:color="auto" w:sz="4" w:space="0"/>
            </w:tcBorders>
            <w:vAlign w:val="center"/>
          </w:tcPr>
          <w:p>
            <w:pPr>
              <w:pStyle w:val="27"/>
              <w:spacing w:line="560" w:lineRule="exact"/>
              <w:jc w:val="center"/>
              <w:rPr>
                <w:rFonts w:ascii="仿宋_GB2312" w:hAnsi="Tahoma" w:cstheme="minorBidi"/>
                <w:kern w:val="0"/>
                <w:szCs w:val="32"/>
              </w:rPr>
            </w:pPr>
          </w:p>
        </w:tc>
        <w:tc>
          <w:tcPr>
            <w:tcW w:w="4820" w:type="dxa"/>
            <w:gridSpan w:val="4"/>
            <w:tcBorders>
              <w:top w:val="single" w:color="auto" w:sz="4" w:space="0"/>
              <w:left w:val="nil"/>
              <w:right w:val="single" w:color="auto" w:sz="4" w:space="0"/>
            </w:tcBorders>
            <w:vAlign w:val="center"/>
          </w:tcPr>
          <w:p>
            <w:pPr>
              <w:pStyle w:val="27"/>
              <w:spacing w:line="400" w:lineRule="exact"/>
              <w:jc w:val="left"/>
              <w:rPr>
                <w:rFonts w:ascii="仿宋_GB2312" w:hAnsi="Tahoma" w:cstheme="minorBidi"/>
                <w:kern w:val="0"/>
                <w:szCs w:val="32"/>
              </w:rPr>
            </w:pPr>
          </w:p>
        </w:tc>
        <w:tc>
          <w:tcPr>
            <w:tcW w:w="2025" w:type="dxa"/>
            <w:tcBorders>
              <w:top w:val="nil"/>
              <w:left w:val="nil"/>
              <w:right w:val="single" w:color="auto" w:sz="4" w:space="0"/>
            </w:tcBorders>
            <w:vAlign w:val="center"/>
          </w:tcPr>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是（ ）</w:t>
            </w:r>
          </w:p>
          <w:p>
            <w:pPr>
              <w:pStyle w:val="27"/>
              <w:widowControl/>
              <w:spacing w:line="400" w:lineRule="exact"/>
              <w:jc w:val="center"/>
              <w:rPr>
                <w:rFonts w:ascii="仿宋_GB2312" w:hAnsi="Tahoma" w:cstheme="minorBidi"/>
                <w:kern w:val="0"/>
                <w:szCs w:val="32"/>
              </w:rPr>
            </w:pPr>
            <w:r>
              <w:rPr>
                <w:rFonts w:hint="eastAsia" w:ascii="仿宋_GB2312" w:hAnsi="Tahoma" w:cstheme="minorBidi"/>
                <w:kern w:val="0"/>
                <w:szCs w:val="32"/>
              </w:rPr>
              <w:t>否（ ）</w:t>
            </w:r>
          </w:p>
        </w:tc>
      </w:tr>
      <w:tr>
        <w:tblPrEx>
          <w:tblLayout w:type="fixed"/>
          <w:tblCellMar>
            <w:top w:w="0" w:type="dxa"/>
            <w:left w:w="108" w:type="dxa"/>
            <w:bottom w:w="0" w:type="dxa"/>
            <w:right w:w="108" w:type="dxa"/>
          </w:tblCellMar>
        </w:tblPrEx>
        <w:trPr>
          <w:trHeight w:val="680" w:hRule="exact"/>
          <w:jc w:val="center"/>
        </w:trPr>
        <w:tc>
          <w:tcPr>
            <w:tcW w:w="3332" w:type="dxa"/>
            <w:tcBorders>
              <w:top w:val="nil"/>
              <w:left w:val="single" w:color="auto" w:sz="4" w:space="0"/>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主办</w:t>
            </w:r>
            <w:r>
              <w:rPr>
                <w:rFonts w:hint="eastAsia" w:ascii="仿宋_GB2312" w:hAnsi="Tahoma" w:cstheme="minorBidi"/>
                <w:kern w:val="0"/>
                <w:szCs w:val="32"/>
                <w:lang w:val="en-US" w:eastAsia="zh-CN"/>
              </w:rPr>
              <w:t>股</w:t>
            </w:r>
            <w:r>
              <w:rPr>
                <w:rFonts w:hint="eastAsia" w:ascii="仿宋_GB2312" w:hAnsi="Tahoma" w:cstheme="minorBidi"/>
                <w:kern w:val="0"/>
                <w:szCs w:val="32"/>
              </w:rPr>
              <w:t>室负责人意见</w:t>
            </w:r>
          </w:p>
        </w:tc>
        <w:tc>
          <w:tcPr>
            <w:tcW w:w="6845" w:type="dxa"/>
            <w:gridSpan w:val="5"/>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　</w:t>
            </w:r>
          </w:p>
        </w:tc>
      </w:tr>
      <w:tr>
        <w:tblPrEx>
          <w:tblLayout w:type="fixed"/>
          <w:tblCellMar>
            <w:top w:w="0" w:type="dxa"/>
            <w:left w:w="108" w:type="dxa"/>
            <w:bottom w:w="0" w:type="dxa"/>
            <w:right w:w="108" w:type="dxa"/>
          </w:tblCellMar>
        </w:tblPrEx>
        <w:trPr>
          <w:trHeight w:val="680" w:hRule="exact"/>
          <w:jc w:val="center"/>
        </w:trPr>
        <w:tc>
          <w:tcPr>
            <w:tcW w:w="3332" w:type="dxa"/>
            <w:tcBorders>
              <w:top w:val="nil"/>
              <w:left w:val="single" w:color="auto" w:sz="4" w:space="0"/>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办公室意见</w:t>
            </w:r>
          </w:p>
        </w:tc>
        <w:tc>
          <w:tcPr>
            <w:tcW w:w="6845" w:type="dxa"/>
            <w:gridSpan w:val="5"/>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　</w:t>
            </w:r>
          </w:p>
        </w:tc>
      </w:tr>
      <w:tr>
        <w:tblPrEx>
          <w:tblLayout w:type="fixed"/>
          <w:tblCellMar>
            <w:top w:w="0" w:type="dxa"/>
            <w:left w:w="108" w:type="dxa"/>
            <w:bottom w:w="0" w:type="dxa"/>
            <w:right w:w="108" w:type="dxa"/>
          </w:tblCellMar>
        </w:tblPrEx>
        <w:trPr>
          <w:trHeight w:val="1222" w:hRule="exact"/>
          <w:jc w:val="center"/>
        </w:trPr>
        <w:tc>
          <w:tcPr>
            <w:tcW w:w="3332" w:type="dxa"/>
            <w:tcBorders>
              <w:top w:val="nil"/>
              <w:left w:val="single" w:color="auto" w:sz="4" w:space="0"/>
              <w:bottom w:val="single" w:color="auto" w:sz="4" w:space="0"/>
              <w:right w:val="single" w:color="auto" w:sz="4" w:space="0"/>
            </w:tcBorders>
            <w:vAlign w:val="center"/>
          </w:tcPr>
          <w:p>
            <w:pPr>
              <w:pStyle w:val="27"/>
              <w:widowControl/>
              <w:spacing w:line="560" w:lineRule="exact"/>
              <w:rPr>
                <w:rFonts w:ascii="仿宋_GB2312" w:hAnsi="Tahoma" w:cstheme="minorBidi"/>
                <w:spacing w:val="-10"/>
                <w:kern w:val="0"/>
                <w:szCs w:val="32"/>
              </w:rPr>
            </w:pPr>
            <w:r>
              <w:rPr>
                <w:rFonts w:hint="eastAsia" w:ascii="仿宋_GB2312" w:hAnsi="Tahoma" w:cstheme="minorBidi"/>
                <w:spacing w:val="-10"/>
                <w:kern w:val="0"/>
                <w:szCs w:val="32"/>
              </w:rPr>
              <w:t>主办</w:t>
            </w:r>
            <w:r>
              <w:rPr>
                <w:rFonts w:hint="eastAsia" w:ascii="仿宋_GB2312" w:hAnsi="Tahoma" w:cstheme="minorBidi"/>
                <w:spacing w:val="-10"/>
                <w:kern w:val="0"/>
                <w:szCs w:val="32"/>
                <w:lang w:val="en-US" w:eastAsia="zh-CN"/>
              </w:rPr>
              <w:t>股</w:t>
            </w:r>
            <w:r>
              <w:rPr>
                <w:rFonts w:hint="eastAsia" w:ascii="仿宋_GB2312" w:hAnsi="Tahoma" w:cstheme="minorBidi"/>
                <w:spacing w:val="-10"/>
                <w:kern w:val="0"/>
                <w:szCs w:val="32"/>
              </w:rPr>
              <w:t>室分管领导审核意见</w:t>
            </w:r>
          </w:p>
        </w:tc>
        <w:tc>
          <w:tcPr>
            <w:tcW w:w="6845" w:type="dxa"/>
            <w:gridSpan w:val="5"/>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　</w:t>
            </w:r>
          </w:p>
        </w:tc>
      </w:tr>
      <w:tr>
        <w:tblPrEx>
          <w:tblLayout w:type="fixed"/>
          <w:tblCellMar>
            <w:top w:w="0" w:type="dxa"/>
            <w:left w:w="108" w:type="dxa"/>
            <w:bottom w:w="0" w:type="dxa"/>
            <w:right w:w="108" w:type="dxa"/>
          </w:tblCellMar>
        </w:tblPrEx>
        <w:trPr>
          <w:trHeight w:val="1140" w:hRule="exact"/>
          <w:jc w:val="center"/>
        </w:trPr>
        <w:tc>
          <w:tcPr>
            <w:tcW w:w="3332" w:type="dxa"/>
            <w:tcBorders>
              <w:top w:val="nil"/>
              <w:left w:val="single" w:color="auto" w:sz="4" w:space="0"/>
              <w:bottom w:val="single" w:color="auto" w:sz="4" w:space="0"/>
              <w:right w:val="single" w:color="auto" w:sz="4" w:space="0"/>
            </w:tcBorders>
            <w:vAlign w:val="center"/>
          </w:tcPr>
          <w:p>
            <w:pPr>
              <w:pStyle w:val="27"/>
              <w:widowControl/>
              <w:spacing w:line="560" w:lineRule="exact"/>
              <w:rPr>
                <w:rFonts w:ascii="仿宋_GB2312" w:hAnsi="Tahoma" w:cstheme="minorBidi"/>
                <w:spacing w:val="-10"/>
                <w:kern w:val="0"/>
                <w:szCs w:val="32"/>
              </w:rPr>
            </w:pPr>
            <w:r>
              <w:rPr>
                <w:rFonts w:hint="eastAsia" w:ascii="仿宋_GB2312" w:hAnsi="Tahoma" w:cstheme="minorBidi"/>
                <w:spacing w:val="-10"/>
                <w:kern w:val="0"/>
                <w:szCs w:val="32"/>
              </w:rPr>
              <w:t>分管财务的局领导审批意见</w:t>
            </w:r>
          </w:p>
        </w:tc>
        <w:tc>
          <w:tcPr>
            <w:tcW w:w="6845" w:type="dxa"/>
            <w:gridSpan w:val="5"/>
            <w:tcBorders>
              <w:top w:val="single" w:color="auto" w:sz="4" w:space="0"/>
              <w:left w:val="nil"/>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　</w:t>
            </w:r>
          </w:p>
        </w:tc>
      </w:tr>
      <w:tr>
        <w:tblPrEx>
          <w:tblLayout w:type="fixed"/>
          <w:tblCellMar>
            <w:top w:w="0" w:type="dxa"/>
            <w:left w:w="108" w:type="dxa"/>
            <w:bottom w:w="0" w:type="dxa"/>
            <w:right w:w="108" w:type="dxa"/>
          </w:tblCellMar>
        </w:tblPrEx>
        <w:trPr>
          <w:trHeight w:val="680" w:hRule="exact"/>
          <w:jc w:val="center"/>
        </w:trPr>
        <w:tc>
          <w:tcPr>
            <w:tcW w:w="3332" w:type="dxa"/>
            <w:tcBorders>
              <w:top w:val="nil"/>
              <w:left w:val="single" w:color="auto" w:sz="4" w:space="0"/>
              <w:bottom w:val="single" w:color="auto" w:sz="4" w:space="0"/>
              <w:right w:val="single" w:color="auto" w:sz="4" w:space="0"/>
            </w:tcBorders>
            <w:vAlign w:val="center"/>
          </w:tcPr>
          <w:p>
            <w:pPr>
              <w:pStyle w:val="27"/>
              <w:widowControl/>
              <w:spacing w:line="560" w:lineRule="exact"/>
              <w:jc w:val="center"/>
              <w:rPr>
                <w:rFonts w:ascii="仿宋_GB2312" w:hAnsi="Tahoma" w:cstheme="minorBidi"/>
                <w:kern w:val="0"/>
                <w:szCs w:val="32"/>
              </w:rPr>
            </w:pPr>
            <w:r>
              <w:rPr>
                <w:rFonts w:hint="eastAsia" w:ascii="仿宋_GB2312" w:hAnsi="Tahoma" w:cstheme="minorBidi"/>
                <w:kern w:val="0"/>
                <w:szCs w:val="32"/>
              </w:rPr>
              <w:t>备注</w:t>
            </w:r>
          </w:p>
        </w:tc>
        <w:tc>
          <w:tcPr>
            <w:tcW w:w="6845" w:type="dxa"/>
            <w:gridSpan w:val="5"/>
            <w:tcBorders>
              <w:top w:val="single" w:color="auto" w:sz="4" w:space="0"/>
              <w:left w:val="nil"/>
              <w:bottom w:val="single" w:color="auto" w:sz="4" w:space="0"/>
              <w:right w:val="single" w:color="auto" w:sz="4" w:space="0"/>
            </w:tcBorders>
            <w:vAlign w:val="center"/>
          </w:tcPr>
          <w:p>
            <w:pPr>
              <w:pStyle w:val="27"/>
              <w:widowControl/>
              <w:spacing w:line="560" w:lineRule="exact"/>
              <w:jc w:val="left"/>
              <w:rPr>
                <w:rFonts w:ascii="仿宋_GB2312" w:hAnsi="Tahoma" w:cstheme="minorBidi"/>
                <w:kern w:val="0"/>
                <w:szCs w:val="32"/>
              </w:rPr>
            </w:pPr>
          </w:p>
        </w:tc>
      </w:tr>
    </w:tbl>
    <w:p>
      <w:pPr>
        <w:spacing w:line="360" w:lineRule="exact"/>
        <w:rPr>
          <w:rFonts w:ascii="仿宋_GB2312" w:eastAsia="仿宋_GB2312"/>
          <w:sz w:val="32"/>
          <w:szCs w:val="32"/>
        </w:rPr>
      </w:pPr>
      <w:r>
        <w:rPr>
          <w:rFonts w:hint="eastAsia" w:ascii="仿宋_GB2312" w:eastAsia="仿宋_GB2312"/>
          <w:sz w:val="32"/>
          <w:szCs w:val="32"/>
        </w:rPr>
        <w:t>注意事项：</w:t>
      </w:r>
    </w:p>
    <w:p>
      <w:pPr>
        <w:pStyle w:val="27"/>
        <w:spacing w:line="520" w:lineRule="exact"/>
        <w:ind w:firstLine="640" w:firstLineChars="200"/>
        <w:rPr>
          <w:rFonts w:ascii="仿宋_GB2312" w:hAnsi="Tahoma" w:cstheme="minorBidi"/>
          <w:kern w:val="0"/>
          <w:szCs w:val="32"/>
        </w:rPr>
      </w:pPr>
      <w:r>
        <w:rPr>
          <w:rFonts w:ascii="仿宋_GB2312" w:hAnsi="Tahoma" w:cstheme="minorBidi"/>
          <w:kern w:val="0"/>
          <w:szCs w:val="32"/>
        </w:rPr>
        <w:t>1.</w:t>
      </w:r>
      <w:r>
        <w:rPr>
          <w:rFonts w:hint="eastAsia" w:ascii="仿宋_GB2312" w:hAnsi="Tahoma" w:cstheme="minorBidi"/>
          <w:kern w:val="0"/>
          <w:szCs w:val="32"/>
        </w:rPr>
        <w:t>会议费用每人每天</w:t>
      </w:r>
      <w:r>
        <w:rPr>
          <w:rFonts w:hint="eastAsia" w:ascii="仿宋_GB2312" w:hAnsi="Tahoma" w:cstheme="minorBidi"/>
          <w:kern w:val="0"/>
          <w:szCs w:val="32"/>
          <w:lang w:val="en-US" w:eastAsia="zh-CN"/>
        </w:rPr>
        <w:t>250</w:t>
      </w:r>
      <w:r>
        <w:rPr>
          <w:rFonts w:hint="eastAsia" w:ascii="仿宋_GB2312" w:hAnsi="Tahoma" w:cstheme="minorBidi"/>
          <w:kern w:val="0"/>
          <w:szCs w:val="32"/>
        </w:rPr>
        <w:t>元（包括住宿</w:t>
      </w:r>
      <w:r>
        <w:rPr>
          <w:rFonts w:hint="eastAsia" w:ascii="仿宋_GB2312" w:hAnsi="Tahoma" w:cstheme="minorBidi"/>
          <w:kern w:val="0"/>
          <w:szCs w:val="32"/>
          <w:lang w:val="en-US" w:eastAsia="zh-CN"/>
        </w:rPr>
        <w:t>120</w:t>
      </w:r>
      <w:r>
        <w:rPr>
          <w:rFonts w:hint="eastAsia" w:ascii="仿宋_GB2312" w:hAnsi="Tahoma" w:cstheme="minorBidi"/>
          <w:kern w:val="0"/>
          <w:szCs w:val="32"/>
        </w:rPr>
        <w:t>、伙食费</w:t>
      </w:r>
      <w:r>
        <w:rPr>
          <w:rFonts w:hint="eastAsia" w:ascii="仿宋_GB2312" w:hAnsi="Tahoma" w:cstheme="minorBidi"/>
          <w:kern w:val="0"/>
          <w:szCs w:val="32"/>
          <w:lang w:val="en-US" w:eastAsia="zh-CN"/>
        </w:rPr>
        <w:t>100</w:t>
      </w:r>
      <w:r>
        <w:rPr>
          <w:rFonts w:hint="eastAsia" w:ascii="仿宋_GB2312" w:hAnsi="Tahoma" w:cstheme="minorBidi"/>
          <w:kern w:val="0"/>
          <w:szCs w:val="32"/>
        </w:rPr>
        <w:t>、其他费用30）。会议所在地的代表、工作人员以及代表随行司机一律不安排食宿，也不发放任何费用。</w:t>
      </w:r>
    </w:p>
    <w:p>
      <w:pPr>
        <w:pStyle w:val="27"/>
        <w:spacing w:line="520" w:lineRule="exact"/>
        <w:ind w:firstLine="640" w:firstLineChars="200"/>
        <w:rPr>
          <w:rFonts w:ascii="仿宋_GB2312" w:hAnsi="Tahoma" w:cstheme="minorBidi"/>
          <w:kern w:val="0"/>
          <w:szCs w:val="32"/>
        </w:rPr>
      </w:pPr>
      <w:r>
        <w:rPr>
          <w:rFonts w:hint="eastAsia" w:ascii="仿宋_GB2312" w:hAnsi="Tahoma" w:cstheme="minorBidi"/>
          <w:kern w:val="0"/>
          <w:szCs w:val="32"/>
        </w:rPr>
        <w:t>2. 会议结束后凭预算审批表、会议用餐登记表、会议通知、参会人员签到表原件、发票、费用开支原始明细清单等到办公室（财务）办理报销手续。</w:t>
      </w:r>
    </w:p>
    <w:p>
      <w:pPr>
        <w:ind w:firstLine="440" w:firstLineChars="200"/>
        <w:rPr>
          <w:rFonts w:ascii="仿宋_GB2312"/>
          <w:szCs w:val="32"/>
        </w:rPr>
      </w:pPr>
    </w:p>
    <w:p>
      <w:pPr>
        <w:spacing w:line="580" w:lineRule="exact"/>
        <w:rPr>
          <w:rFonts w:ascii="仿宋_GB2312" w:eastAsia="仿宋_GB2312"/>
          <w:sz w:val="32"/>
          <w:szCs w:val="32"/>
        </w:rPr>
      </w:pPr>
      <w:r>
        <w:rPr>
          <w:rFonts w:hint="eastAsia" w:ascii="仿宋_GB2312" w:eastAsia="仿宋_GB2312"/>
          <w:sz w:val="32"/>
          <w:szCs w:val="32"/>
        </w:rPr>
        <w:t>附件3</w:t>
      </w:r>
    </w:p>
    <w:p>
      <w:pPr>
        <w:spacing w:line="580" w:lineRule="exact"/>
        <w:jc w:val="center"/>
        <w:rPr>
          <w:rFonts w:ascii="仿宋_GB2312" w:eastAsia="仿宋_GB2312"/>
          <w:sz w:val="44"/>
          <w:szCs w:val="44"/>
        </w:rPr>
      </w:pPr>
      <w:r>
        <w:rPr>
          <w:rFonts w:hint="eastAsia" w:ascii="仿宋_GB2312" w:eastAsia="仿宋_GB2312"/>
          <w:sz w:val="44"/>
          <w:szCs w:val="44"/>
        </w:rPr>
        <w:t>会议用餐登记表</w:t>
      </w:r>
    </w:p>
    <w:tbl>
      <w:tblPr>
        <w:tblStyle w:val="11"/>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2977"/>
        <w:gridCol w:w="2126"/>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809" w:type="dxa"/>
            <w:tcBorders>
              <w:right w:val="single" w:color="auto" w:sz="4" w:space="0"/>
            </w:tcBorders>
          </w:tcPr>
          <w:p>
            <w:pPr>
              <w:spacing w:line="580" w:lineRule="exact"/>
              <w:rPr>
                <w:rFonts w:ascii="仿宋_GB2312" w:eastAsia="仿宋_GB2312"/>
                <w:sz w:val="32"/>
                <w:szCs w:val="32"/>
              </w:rPr>
            </w:pPr>
            <w:r>
              <w:rPr>
                <w:rFonts w:hint="eastAsia" w:ascii="仿宋_GB2312" w:eastAsia="仿宋_GB2312"/>
                <w:sz w:val="32"/>
                <w:szCs w:val="32"/>
              </w:rPr>
              <w:t>会议名称</w:t>
            </w:r>
          </w:p>
        </w:tc>
        <w:tc>
          <w:tcPr>
            <w:tcW w:w="7477" w:type="dxa"/>
            <w:gridSpan w:val="3"/>
          </w:tcPr>
          <w:p>
            <w:pPr>
              <w:spacing w:line="580" w:lineRule="exac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Borders>
              <w:right w:val="single" w:color="auto" w:sz="4" w:space="0"/>
            </w:tcBorders>
          </w:tcPr>
          <w:p>
            <w:pPr>
              <w:spacing w:line="580" w:lineRule="exact"/>
              <w:rPr>
                <w:rFonts w:ascii="仿宋_GB2312" w:eastAsia="仿宋_GB2312"/>
                <w:sz w:val="32"/>
                <w:szCs w:val="32"/>
              </w:rPr>
            </w:pPr>
            <w:r>
              <w:rPr>
                <w:rFonts w:hint="eastAsia" w:ascii="仿宋_GB2312" w:eastAsia="仿宋_GB2312"/>
                <w:sz w:val="32"/>
                <w:szCs w:val="32"/>
              </w:rPr>
              <w:t>主办</w:t>
            </w:r>
            <w:r>
              <w:rPr>
                <w:rFonts w:hint="eastAsia" w:ascii="仿宋_GB2312" w:eastAsia="仿宋_GB2312"/>
                <w:sz w:val="32"/>
                <w:szCs w:val="32"/>
                <w:lang w:val="en-US" w:eastAsia="zh-CN"/>
              </w:rPr>
              <w:t>股</w:t>
            </w:r>
            <w:r>
              <w:rPr>
                <w:rFonts w:hint="eastAsia" w:ascii="仿宋_GB2312" w:eastAsia="仿宋_GB2312"/>
                <w:sz w:val="32"/>
                <w:szCs w:val="32"/>
              </w:rPr>
              <w:t>室</w:t>
            </w:r>
          </w:p>
        </w:tc>
        <w:tc>
          <w:tcPr>
            <w:tcW w:w="7477" w:type="dxa"/>
            <w:gridSpan w:val="3"/>
            <w:tcBorders>
              <w:left w:val="single" w:color="auto" w:sz="4" w:space="0"/>
              <w:right w:val="single" w:color="auto" w:sz="4" w:space="0"/>
            </w:tcBorders>
          </w:tcPr>
          <w:p>
            <w:pPr>
              <w:spacing w:line="580" w:lineRule="exac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Borders>
              <w:right w:val="single" w:color="auto" w:sz="4" w:space="0"/>
            </w:tcBorders>
          </w:tcPr>
          <w:p>
            <w:pPr>
              <w:spacing w:line="580" w:lineRule="exact"/>
              <w:rPr>
                <w:rFonts w:ascii="仿宋_GB2312" w:eastAsia="仿宋_GB2312"/>
                <w:sz w:val="32"/>
                <w:szCs w:val="32"/>
              </w:rPr>
            </w:pPr>
            <w:r>
              <w:rPr>
                <w:rFonts w:hint="eastAsia" w:ascii="仿宋_GB2312" w:eastAsia="仿宋_GB2312"/>
                <w:sz w:val="32"/>
                <w:szCs w:val="32"/>
              </w:rPr>
              <w:t>用餐日期</w:t>
            </w:r>
          </w:p>
        </w:tc>
        <w:tc>
          <w:tcPr>
            <w:tcW w:w="2977" w:type="dxa"/>
            <w:tcBorders>
              <w:left w:val="single" w:color="auto" w:sz="4" w:space="0"/>
              <w:right w:val="single" w:color="auto" w:sz="4" w:space="0"/>
            </w:tcBorders>
          </w:tcPr>
          <w:p>
            <w:pPr>
              <w:spacing w:line="580" w:lineRule="exact"/>
              <w:rPr>
                <w:rFonts w:ascii="仿宋_GB2312" w:eastAsia="仿宋_GB2312"/>
                <w:sz w:val="32"/>
                <w:szCs w:val="32"/>
              </w:rPr>
            </w:pPr>
          </w:p>
        </w:tc>
        <w:tc>
          <w:tcPr>
            <w:tcW w:w="2126" w:type="dxa"/>
            <w:tcBorders>
              <w:left w:val="single" w:color="auto" w:sz="4" w:space="0"/>
              <w:right w:val="single" w:color="auto" w:sz="4" w:space="0"/>
            </w:tcBorders>
          </w:tcPr>
          <w:p>
            <w:pPr>
              <w:spacing w:line="580" w:lineRule="exact"/>
              <w:rPr>
                <w:rFonts w:ascii="仿宋_GB2312" w:eastAsia="仿宋_GB2312"/>
                <w:sz w:val="32"/>
                <w:szCs w:val="32"/>
              </w:rPr>
            </w:pPr>
            <w:r>
              <w:rPr>
                <w:rFonts w:hint="eastAsia" w:ascii="仿宋_GB2312" w:eastAsia="仿宋_GB2312"/>
                <w:sz w:val="32"/>
                <w:szCs w:val="32"/>
              </w:rPr>
              <w:t>餐次</w:t>
            </w:r>
          </w:p>
        </w:tc>
        <w:tc>
          <w:tcPr>
            <w:tcW w:w="2374" w:type="dxa"/>
            <w:tcBorders>
              <w:left w:val="single" w:color="auto" w:sz="4" w:space="0"/>
            </w:tcBorders>
          </w:tcPr>
          <w:p>
            <w:pPr>
              <w:spacing w:line="580" w:lineRule="exact"/>
              <w:rPr>
                <w:rFonts w:ascii="仿宋_GB2312" w:eastAsia="仿宋_GB2312"/>
                <w:sz w:val="32"/>
                <w:szCs w:val="32"/>
              </w:rPr>
            </w:pPr>
            <w:r>
              <w:rPr>
                <w:rFonts w:hint="eastAsia" w:ascii="仿宋_GB2312" w:eastAsia="仿宋_GB2312"/>
                <w:sz w:val="32"/>
                <w:szCs w:val="32"/>
              </w:rPr>
              <w:t>早□中□晚□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809" w:type="dxa"/>
            <w:tcBorders>
              <w:right w:val="single" w:color="auto" w:sz="4" w:space="0"/>
            </w:tcBorders>
          </w:tcPr>
          <w:p>
            <w:pPr>
              <w:spacing w:line="580" w:lineRule="exact"/>
              <w:rPr>
                <w:rFonts w:ascii="仿宋_GB2312" w:eastAsia="仿宋_GB2312"/>
                <w:sz w:val="32"/>
                <w:szCs w:val="32"/>
              </w:rPr>
            </w:pPr>
            <w:r>
              <w:rPr>
                <w:rFonts w:hint="eastAsia" w:ascii="仿宋_GB2312" w:eastAsia="仿宋_GB2312"/>
                <w:sz w:val="32"/>
                <w:szCs w:val="32"/>
              </w:rPr>
              <w:t>用餐人数</w:t>
            </w:r>
          </w:p>
        </w:tc>
        <w:tc>
          <w:tcPr>
            <w:tcW w:w="7477" w:type="dxa"/>
            <w:gridSpan w:val="3"/>
            <w:tcBorders>
              <w:left w:val="single" w:color="auto" w:sz="4" w:space="0"/>
            </w:tcBorders>
          </w:tcPr>
          <w:p>
            <w:pPr>
              <w:spacing w:line="580" w:lineRule="exac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tcBorders>
              <w:right w:val="single" w:color="auto" w:sz="4" w:space="0"/>
            </w:tcBorders>
          </w:tcPr>
          <w:p>
            <w:pPr>
              <w:spacing w:line="580" w:lineRule="exact"/>
              <w:rPr>
                <w:rFonts w:ascii="仿宋_GB2312" w:eastAsia="仿宋_GB2312"/>
                <w:sz w:val="32"/>
                <w:szCs w:val="32"/>
              </w:rPr>
            </w:pPr>
            <w:r>
              <w:rPr>
                <w:rFonts w:hint="eastAsia" w:ascii="仿宋_GB2312" w:eastAsia="仿宋_GB2312"/>
                <w:sz w:val="32"/>
                <w:szCs w:val="32"/>
              </w:rPr>
              <w:t>菜单费用</w:t>
            </w:r>
          </w:p>
        </w:tc>
        <w:tc>
          <w:tcPr>
            <w:tcW w:w="7477" w:type="dxa"/>
            <w:gridSpan w:val="3"/>
            <w:tcBorders>
              <w:left w:val="single" w:color="auto" w:sz="4" w:space="0"/>
            </w:tcBorders>
          </w:tcPr>
          <w:p>
            <w:pPr>
              <w:spacing w:line="580" w:lineRule="exac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6" w:hRule="atLeast"/>
        </w:trPr>
        <w:tc>
          <w:tcPr>
            <w:tcW w:w="9286" w:type="dxa"/>
            <w:gridSpan w:val="4"/>
          </w:tcPr>
          <w:p>
            <w:pPr>
              <w:spacing w:line="580" w:lineRule="exact"/>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经办</w:t>
            </w:r>
            <w:r>
              <w:rPr>
                <w:rFonts w:hint="eastAsia" w:ascii="仿宋_GB2312" w:eastAsia="仿宋_GB2312"/>
                <w:sz w:val="32"/>
                <w:szCs w:val="32"/>
                <w:lang w:val="en-US" w:eastAsia="zh-CN"/>
              </w:rPr>
              <w:t>股</w:t>
            </w:r>
            <w:r>
              <w:rPr>
                <w:rFonts w:hint="eastAsia" w:ascii="仿宋_GB2312" w:eastAsia="仿宋_GB2312"/>
                <w:sz w:val="32"/>
                <w:szCs w:val="32"/>
              </w:rPr>
              <w:t>室负责人：           办公室审核：</w:t>
            </w:r>
          </w:p>
        </w:tc>
      </w:tr>
    </w:tbl>
    <w:p>
      <w:pPr>
        <w:adjustRightInd/>
        <w:snapToGrid/>
        <w:spacing w:after="0" w:line="600" w:lineRule="exact"/>
        <w:jc w:val="center"/>
        <w:rPr>
          <w:rFonts w:asciiTheme="majorEastAsia" w:hAnsiTheme="majorEastAsia" w:eastAsiaTheme="majorEastAsia"/>
          <w:b/>
          <w:color w:val="FF0000"/>
          <w:sz w:val="44"/>
          <w:szCs w:val="44"/>
        </w:rPr>
      </w:pPr>
      <w:bookmarkStart w:id="5" w:name="_Toc486522656"/>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bookmarkEnd w:id="5"/>
    <w:p>
      <w:pPr>
        <w:jc w:val="center"/>
        <w:rPr>
          <w:rFonts w:hint="eastAsia"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机关工会福利制度</w:t>
      </w:r>
    </w:p>
    <w:p>
      <w:pPr>
        <w:jc w:val="center"/>
        <w:rPr>
          <w:rFonts w:ascii="仿宋" w:hAnsi="仿宋" w:eastAsia="仿宋"/>
          <w:b/>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认真落实中央“八项规定”精神，进一步加强机关工会制度化建设，优化工会支出结构，完善工会服务职工的体制，保持与会员的密切联系，鼓励、引导会员忠于职守、廉洁从政，更好地发挥工会组织在机关工作大局中的作用，根据《党政机关厉行节约反对浪费条例》、全国总工会《中华全国总工会关于印发〈基层工会经费收支管理办法〉的通知》（总工办发〔2017〕32号）以及省总工会《广东省总工会关于印发&lt;广东省基层工会经费收支管理实施细则（试行）的通知》（粤工总〔2018〕5号）等有关文件精神，结合本</w:t>
      </w:r>
      <w:r>
        <w:rPr>
          <w:rFonts w:hint="eastAsia" w:ascii="仿宋" w:hAnsi="仿宋" w:eastAsia="仿宋" w:cs="仿宋"/>
          <w:b w:val="0"/>
          <w:bCs w:val="0"/>
          <w:sz w:val="32"/>
          <w:szCs w:val="32"/>
          <w:lang w:val="en-US" w:eastAsia="zh-CN"/>
        </w:rPr>
        <w:t>局</w:t>
      </w:r>
      <w:r>
        <w:rPr>
          <w:rFonts w:hint="eastAsia" w:ascii="仿宋" w:hAnsi="仿宋" w:eastAsia="仿宋" w:cs="仿宋"/>
          <w:b w:val="0"/>
          <w:bCs w:val="0"/>
          <w:sz w:val="32"/>
          <w:szCs w:val="32"/>
        </w:rPr>
        <w:t>实际，特制定本</w:t>
      </w:r>
      <w:r>
        <w:rPr>
          <w:rFonts w:hint="eastAsia" w:ascii="仿宋" w:hAnsi="仿宋" w:eastAsia="仿宋" w:cs="仿宋"/>
          <w:b w:val="0"/>
          <w:bCs w:val="0"/>
          <w:sz w:val="32"/>
          <w:szCs w:val="32"/>
          <w:lang w:val="en-US" w:eastAsia="zh-CN"/>
        </w:rPr>
        <w:t>局</w:t>
      </w:r>
      <w:r>
        <w:rPr>
          <w:rFonts w:hint="eastAsia" w:ascii="仿宋" w:hAnsi="仿宋" w:eastAsia="仿宋" w:cs="仿宋"/>
          <w:b w:val="0"/>
          <w:bCs w:val="0"/>
          <w:sz w:val="32"/>
          <w:szCs w:val="32"/>
        </w:rPr>
        <w:t>机关工会福利制度。</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一、会员范围。</w:t>
      </w:r>
      <w:r>
        <w:rPr>
          <w:rFonts w:hint="eastAsia" w:ascii="仿宋" w:hAnsi="仿宋" w:eastAsia="仿宋" w:cs="仿宋"/>
          <w:b w:val="0"/>
          <w:bCs w:val="0"/>
          <w:sz w:val="32"/>
          <w:szCs w:val="32"/>
        </w:rPr>
        <w:t>本制度中工会会员是指本局在职人员、临聘人员、离退休人员。工会会员依照规定每月应向工会缴纳本人每月基本工资收入0.5%的会费；离退休人员保留会籍，不缴纳会费。</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二、健康检查。</w:t>
      </w:r>
      <w:r>
        <w:rPr>
          <w:rFonts w:hint="eastAsia" w:ascii="仿宋" w:hAnsi="仿宋" w:eastAsia="仿宋" w:cs="仿宋"/>
          <w:b w:val="0"/>
          <w:bCs w:val="0"/>
          <w:sz w:val="32"/>
          <w:szCs w:val="32"/>
        </w:rPr>
        <w:t>会员由机关工会牵头协同办公室组织一年一次的身体健康常规检查，费用由单位报销。</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三、节日</w:t>
      </w:r>
      <w:r>
        <w:rPr>
          <w:rFonts w:hint="eastAsia" w:ascii="仿宋" w:hAnsi="仿宋" w:eastAsia="仿宋" w:cs="仿宋"/>
          <w:b/>
          <w:bCs/>
          <w:sz w:val="32"/>
          <w:szCs w:val="32"/>
          <w:lang w:val="en-US" w:eastAsia="zh-CN"/>
        </w:rPr>
        <w:t>慰问</w:t>
      </w:r>
      <w:r>
        <w:rPr>
          <w:rFonts w:hint="eastAsia" w:ascii="仿宋" w:hAnsi="仿宋" w:eastAsia="仿宋" w:cs="仿宋"/>
          <w:b/>
          <w:bCs/>
          <w:sz w:val="32"/>
          <w:szCs w:val="32"/>
        </w:rPr>
        <w:t>。</w:t>
      </w:r>
      <w:r>
        <w:rPr>
          <w:rFonts w:hint="eastAsia" w:ascii="仿宋" w:hAnsi="仿宋" w:eastAsia="仿宋" w:cs="仿宋"/>
          <w:b w:val="0"/>
          <w:bCs w:val="0"/>
          <w:sz w:val="32"/>
          <w:szCs w:val="32"/>
        </w:rPr>
        <w:t>逢年过节（指国家规定的法定节日），向全体会员发放节日慰问品，但不可发放购物卡、代金券等，全年发放总额控制在当年工会经费收入的 30％以内，年度总额一般不超过人均2500元。</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四、生日慰问。</w:t>
      </w:r>
      <w:r>
        <w:rPr>
          <w:rFonts w:hint="eastAsia" w:ascii="仿宋" w:hAnsi="仿宋" w:eastAsia="仿宋" w:cs="仿宋"/>
          <w:b w:val="0"/>
          <w:bCs w:val="0"/>
          <w:sz w:val="32"/>
          <w:szCs w:val="32"/>
        </w:rPr>
        <w:t>会员生日，由机关工会发放生日蛋糕（卷）等慰问品，标准人均不超过400元。</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五、生病住院慰问。</w:t>
      </w:r>
      <w:r>
        <w:rPr>
          <w:rFonts w:hint="eastAsia" w:ascii="仿宋" w:hAnsi="仿宋" w:eastAsia="仿宋" w:cs="仿宋"/>
          <w:b w:val="0"/>
          <w:bCs w:val="0"/>
          <w:sz w:val="32"/>
          <w:szCs w:val="32"/>
        </w:rPr>
        <w:t>会员因病住院（包括生育子女）的，由机关工会组织协同相关股室进行慰问，一次性给予慰问金500元。</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六、去世慰问。</w:t>
      </w:r>
      <w:r>
        <w:rPr>
          <w:rFonts w:hint="eastAsia" w:ascii="仿宋" w:hAnsi="仿宋" w:eastAsia="仿宋" w:cs="仿宋"/>
          <w:b w:val="0"/>
          <w:bCs w:val="0"/>
          <w:sz w:val="32"/>
          <w:szCs w:val="32"/>
        </w:rPr>
        <w:t>会员本人及会员的直系亲属去世的，由机关工会牵头协同相关股室进行慰问。会员本人去世的，一次性给予尉问金2000元，以机关工会名义送花圈1个；会员亲属去世的，一次性给予慰问金1000元，以机关工会名义送花圈 1个。</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七、退休欢送。</w:t>
      </w:r>
      <w:r>
        <w:rPr>
          <w:rFonts w:hint="eastAsia" w:ascii="仿宋" w:hAnsi="仿宋" w:eastAsia="仿宋" w:cs="仿宋"/>
          <w:b w:val="0"/>
          <w:bCs w:val="0"/>
          <w:sz w:val="32"/>
          <w:szCs w:val="32"/>
        </w:rPr>
        <w:t>工会会员退休，一次性发给不超过500元的纪念品。</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八、购买职工医疗互助保险。</w:t>
      </w:r>
      <w:r>
        <w:rPr>
          <w:rFonts w:hint="eastAsia" w:ascii="仿宋" w:hAnsi="仿宋" w:eastAsia="仿宋" w:cs="仿宋"/>
          <w:b w:val="0"/>
          <w:bCs w:val="0"/>
          <w:sz w:val="32"/>
          <w:szCs w:val="32"/>
        </w:rPr>
        <w:t>根据广东省基层工会经费收支管理实施细则（试行）第十三条《关于深入开展职工医疗互助保障工作的通知》（粤工办〔2013〕16号文）和《关于在全省开展职工住院医疗互助保障活动的通知》（粤工办〔2014〕21号文）等有关规定，购买职工住院二次保险。</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九、特殊困难补助。</w:t>
      </w:r>
      <w:r>
        <w:rPr>
          <w:rFonts w:hint="eastAsia" w:ascii="仿宋" w:hAnsi="仿宋" w:eastAsia="仿宋" w:cs="仿宋"/>
          <w:b w:val="0"/>
          <w:bCs w:val="0"/>
          <w:sz w:val="32"/>
          <w:szCs w:val="32"/>
        </w:rPr>
        <w:t xml:space="preserve">会员本人或家庭遇到特殊困难的，机关工会给予慰问，慰问金可酌情考虑适当提高，但一般不超过2000元。 </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十、集体活动。</w:t>
      </w:r>
      <w:r>
        <w:rPr>
          <w:rFonts w:hint="eastAsia" w:ascii="仿宋" w:hAnsi="仿宋" w:eastAsia="仿宋" w:cs="仿宋"/>
          <w:b w:val="0"/>
          <w:bCs w:val="0"/>
          <w:sz w:val="32"/>
          <w:szCs w:val="32"/>
        </w:rPr>
        <w:t>机关工会用会费组织会员观看电影、开展春游秋游等集体活动，春游秋游应当日往返，不得到有关部门明令禁止的风景名胜区开展，可安排工作餐，开支交通费。</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十一、活动奖励。</w:t>
      </w:r>
      <w:r>
        <w:rPr>
          <w:rFonts w:hint="eastAsia" w:ascii="仿宋" w:hAnsi="仿宋" w:eastAsia="仿宋" w:cs="仿宋"/>
          <w:b w:val="0"/>
          <w:bCs w:val="0"/>
          <w:sz w:val="32"/>
          <w:szCs w:val="32"/>
        </w:rPr>
        <w:t>工会在举办活动和开展各项工作中发生的奖励，如文艺汇演、体育比赛奖励、优秀学员（包括自学）奖励、评选表彰优秀工会干部和积极分子奖励，以精神鼓励为主，物质激励为辅，奖励人数一般不超过参加人数的30％，奖励金一般不超过300元/人。不设置奖项的，可为参加人员发放参与纪念品，标准一般每人不超过100元。</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十二、其他。</w:t>
      </w:r>
      <w:r>
        <w:rPr>
          <w:rFonts w:hint="eastAsia" w:ascii="仿宋" w:hAnsi="仿宋" w:eastAsia="仿宋" w:cs="仿宋"/>
          <w:b w:val="0"/>
          <w:bCs w:val="0"/>
          <w:sz w:val="32"/>
          <w:szCs w:val="32"/>
        </w:rPr>
        <w:t>工会组织集体活动，对因参与活动而误餐的工会干部和会员可按照县委县政府相关规定的差旅费中伙食补助标准发放现金或安排工作餐，最高不超过40元/人/餐，如上级政策有变，按最新政策标准执行。</w:t>
      </w: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医疗保障工作人员纪律规定</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医疗保障工作人员要严格遵守国家法律法规和有关政策，严格执行各项制度，不准利用职务便利为自己或他人谋取私利。</w:t>
      </w:r>
    </w:p>
    <w:p>
      <w:pPr>
        <w:adjustRightInd/>
        <w:snapToGrid/>
        <w:spacing w:after="0" w:line="600" w:lineRule="exact"/>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一、严格医疗保障审批事项。</w:t>
      </w:r>
      <w:r>
        <w:rPr>
          <w:rFonts w:hint="eastAsia" w:ascii="仿宋" w:hAnsi="仿宋" w:eastAsia="仿宋" w:cs="仿宋"/>
          <w:color w:val="auto"/>
          <w:sz w:val="32"/>
          <w:szCs w:val="32"/>
        </w:rPr>
        <w:t>坚持政务公开，按规定的原则、标准和程序办事。</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（一）不准违规决定定点医疗机构、定点零售药店等资格审查事宜；</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（二）不准违规核定保险费缴费基数、费率，擅自减免应缴纳的医疗保险费或者核销欠缴的医疗保险费。</w:t>
      </w:r>
    </w:p>
    <w:p>
      <w:pPr>
        <w:adjustRightInd/>
        <w:snapToGrid/>
        <w:spacing w:after="0" w:line="600" w:lineRule="exact"/>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二、严格社会保险标准制定。</w:t>
      </w:r>
      <w:r>
        <w:rPr>
          <w:rFonts w:hint="eastAsia" w:ascii="仿宋" w:hAnsi="仿宋" w:eastAsia="仿宋" w:cs="仿宋"/>
          <w:color w:val="auto"/>
          <w:sz w:val="32"/>
          <w:szCs w:val="32"/>
        </w:rPr>
        <w:t>坚持科学决策、民主决策和集体决策。</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（三）不准违反保密规定泄露医疗保险事项评审评定专家名单，干预专家评审意见；</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（四）不准违规决定基本医疗保险和生育保险药品目录，基本医疗保险诊疗项目范围等制定调整事宜；</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（五）不准违规决定定点医疗机构、定点零售药店、协议工伤康复机构和协议工伤辅助器具配置机构的医疗（康复、辅助器具）费用结算标准。</w:t>
      </w:r>
    </w:p>
    <w:p>
      <w:pPr>
        <w:adjustRightInd/>
        <w:snapToGrid/>
        <w:spacing w:after="0" w:line="600" w:lineRule="exact"/>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三、严格医疗保险基金管理。</w:t>
      </w:r>
      <w:r>
        <w:rPr>
          <w:rFonts w:hint="eastAsia" w:ascii="仿宋" w:hAnsi="仿宋" w:eastAsia="仿宋" w:cs="仿宋"/>
          <w:color w:val="auto"/>
          <w:sz w:val="32"/>
          <w:szCs w:val="32"/>
        </w:rPr>
        <w:t>坚持专户管理，专款专用。</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（六）不准私自或与他人串通，隐匿、转移、侵占、挪用、拆借、套取医疗保险基金；</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（七）不准违规干预或插手医疗保险补贴资金等专项资金的分配使用。</w:t>
      </w:r>
    </w:p>
    <w:p>
      <w:pPr>
        <w:adjustRightInd/>
        <w:snapToGrid/>
        <w:spacing w:after="0" w:line="600" w:lineRule="exact"/>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四、严格医疗保险经办管理。</w:t>
      </w:r>
      <w:r>
        <w:rPr>
          <w:rFonts w:hint="eastAsia" w:ascii="仿宋" w:hAnsi="仿宋" w:eastAsia="仿宋" w:cs="仿宋"/>
          <w:color w:val="auto"/>
          <w:sz w:val="32"/>
          <w:szCs w:val="32"/>
        </w:rPr>
        <w:t>坚持落实内控制度，推进逐级授权、逐级审查和分段分岗专人负责制。</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（八）不准弄虚作假，违规为超龄、虚假身份等不符合条件人员参加相应的医疗保险，办理医疗保险登记；</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（九）不准隐匿、滞压医疗保险费或将医疗保险费存入医疗保险基金专户之外的资金账户；</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（十）不准擅自扩大医疗保险待遇发放范围，增减医疗保险基金支付项目，变更医疗保险待遇支付标准，违反审批程序，在手续和资料不全的情况下支付医疗保险基金；</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（十一）不准虚列、虚报、虚增支付项目，或通过伪造证明材料等欺诈手段骗取或协助他人骗取医疗保险基金支出。</w:t>
      </w:r>
    </w:p>
    <w:p>
      <w:pPr>
        <w:adjustRightInd/>
        <w:snapToGrid/>
        <w:spacing w:after="0" w:line="600" w:lineRule="exact"/>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五、严格医疗保险信息管理。</w:t>
      </w:r>
      <w:r>
        <w:rPr>
          <w:rFonts w:hint="eastAsia" w:ascii="仿宋" w:hAnsi="仿宋" w:eastAsia="仿宋" w:cs="仿宋"/>
          <w:color w:val="auto"/>
          <w:sz w:val="32"/>
          <w:szCs w:val="32"/>
        </w:rPr>
        <w:t>坚持分权制衡原则，科学设置信息系统用户权限，严格执行政府采购流程。</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（十二）不准伪造、篡改、擅自销毁参保人医疗保险缴费记录、享受医疗保险待遇记录、个人权益记录等医疗保险数据资料；</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（十三）不准违规外泄各类业务信息和重要数据；</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（十四）不准在医疗保险信息管理政府采购过程中围标串标、明招暗定、以次充好、回避招标或利用其他手段谋取私利。</w:t>
      </w:r>
    </w:p>
    <w:p>
      <w:pPr>
        <w:adjustRightInd/>
        <w:snapToGrid/>
        <w:spacing w:after="0" w:line="600" w:lineRule="exact"/>
        <w:ind w:firstLine="643" w:firstLineChars="200"/>
        <w:jc w:val="both"/>
        <w:rPr>
          <w:rFonts w:hint="eastAsia" w:ascii="仿宋" w:hAnsi="仿宋" w:eastAsia="仿宋" w:cs="仿宋"/>
          <w:color w:val="auto"/>
          <w:sz w:val="32"/>
          <w:szCs w:val="32"/>
        </w:rPr>
      </w:pPr>
      <w:r>
        <w:rPr>
          <w:rFonts w:hint="eastAsia" w:ascii="仿宋" w:hAnsi="仿宋" w:eastAsia="仿宋" w:cs="仿宋"/>
          <w:b/>
          <w:bCs/>
          <w:color w:val="auto"/>
          <w:sz w:val="32"/>
          <w:szCs w:val="32"/>
        </w:rPr>
        <w:t>六、严格医疗保险监督管理。</w:t>
      </w:r>
      <w:r>
        <w:rPr>
          <w:rFonts w:hint="eastAsia" w:ascii="仿宋" w:hAnsi="仿宋" w:eastAsia="仿宋" w:cs="仿宋"/>
          <w:color w:val="auto"/>
          <w:sz w:val="32"/>
          <w:szCs w:val="32"/>
        </w:rPr>
        <w:t>坚持依规监督，依法处理。</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（十五）不准接收行政相对人的礼品、礼金、有价证券，参加可能影响公正执行公务的宴请及其他活动安排；</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（十六）不准违规干预或插手监督检查项目和程序；</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（十七）不准隐瞒医疗保险违法违规重要情况或案件线索，影响检查实施和问题处理；</w:t>
      </w:r>
    </w:p>
    <w:p>
      <w:pPr>
        <w:adjustRightInd/>
        <w:snapToGrid/>
        <w:spacing w:after="0"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（十八）不准擅自改变医疗保险基金监督检查结论，违规作出行政处理决定。</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局领导带班制度</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为进一步加强局机关作风建设，提高管理服务水平，提升办事大厅方便、快捷、高效的机关窗口良好形象，在本局办事大厅实行局领导带班，特制订本制度。</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一、带班时间</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年度内，局领导班子每人轮流带班1个月。</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二、带班职责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（一）督查办事大厅工作人员履行工作职责、执行各项规章制度和纪律、使用规范服务用语、挂牌上岗等情况；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（二）督查办事大厅环境整洁及便民措施落实情况；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（三）宣传医保政策，接待群众来访、投诉及举报；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（四）负责各</w:t>
      </w:r>
      <w:r>
        <w:rPr>
          <w:rFonts w:hint="eastAsia" w:ascii="仿宋" w:hAnsi="仿宋" w:eastAsia="仿宋" w:cs="仿宋"/>
          <w:sz w:val="32"/>
          <w:szCs w:val="32"/>
          <w:lang w:val="en-US" w:eastAsia="zh-CN"/>
        </w:rPr>
        <w:t>股</w:t>
      </w:r>
      <w:r>
        <w:rPr>
          <w:rFonts w:hint="eastAsia" w:ascii="仿宋" w:hAnsi="仿宋" w:eastAsia="仿宋" w:cs="仿宋"/>
          <w:sz w:val="32"/>
          <w:szCs w:val="32"/>
        </w:rPr>
        <w:t>室工作协调与督查指导；</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（五）突发事件的应急处理。</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三、带班要求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带班局领导应认真履行职责，注重发挥表率和示范作用。确因工作、会议等公务原因不能到位的，须向局主要领导说明原因，由办公室另行安排其他局领导带班。</w:t>
      </w:r>
    </w:p>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hint="eastAsia" w:ascii="仿宋" w:hAnsi="仿宋" w:eastAsia="仿宋" w:cs="仿宋"/>
          <w:sz w:val="32"/>
          <w:szCs w:val="32"/>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FF0000"/>
          <w:sz w:val="44"/>
          <w:szCs w:val="44"/>
        </w:rPr>
      </w:pPr>
    </w:p>
    <w:p>
      <w:pPr>
        <w:adjustRightInd/>
        <w:snapToGrid/>
        <w:spacing w:after="0" w:line="600" w:lineRule="exact"/>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服务承诺制</w:t>
      </w:r>
    </w:p>
    <w:p>
      <w:pPr>
        <w:adjustRightInd/>
        <w:snapToGrid/>
        <w:spacing w:after="0" w:line="600" w:lineRule="exact"/>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为进一步加强机关作风建设，切实提高工作效率和服务质量，为参保单位和参保人提供优质高效服务，特定本制度。</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一、经办服务承诺</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（一）首问服务。严格执行首问负责制，首问责任人对服务对象要热情接待，给予办事人的指引、介绍或答疑等服务，确保申办业务事项有满意结果。</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（二）即时服务。服务对象申办事项属本单位职责范围的，凡符合规定、手续齐全的，工作人员当场受理。对资料不全的，要一次性告知所需补送的全部材料。</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（三）限时服务。严格执行限时办结制度，各项审批事项自受理之日起，在规定时限内办结并及时告知服务对象。</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（四）规范服务。对服务对象依法提供规范有序的服务，对属本局办理的相关事务，由本局提供办事指南，让办事人员“一看就明白、一问就清楚、一听就理解、一办就满意”。</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（五）文明服务。做到举止端庄，谈吐文明，使用文明用语，禁用服务忌语，待人礼貌，服务周到。</w:t>
      </w:r>
    </w:p>
    <w:p>
      <w:pPr>
        <w:adjustRightInd/>
        <w:snapToGrid/>
        <w:spacing w:after="0" w:line="600" w:lineRule="exact"/>
        <w:rPr>
          <w:rFonts w:hint="eastAsia" w:ascii="仿宋" w:hAnsi="仿宋" w:eastAsia="仿宋" w:cs="仿宋"/>
          <w:sz w:val="32"/>
          <w:szCs w:val="32"/>
        </w:rPr>
      </w:pPr>
      <w:r>
        <w:rPr>
          <w:rFonts w:hint="eastAsia" w:ascii="仿宋" w:hAnsi="仿宋" w:eastAsia="仿宋" w:cs="仿宋"/>
          <w:sz w:val="32"/>
          <w:szCs w:val="32"/>
        </w:rPr>
        <w:t xml:space="preserve">    （六）廉洁服务。做到依法行政，执法公平公正，廉洁奉公，坚决杜绝“吃、拿、卡、要”等现象发生。</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二、自觉接受监督</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（一）在大堂设置触摸屏、大堂设置办事指南，在局网站公开信息，引导办事，接受监督。</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（二）在大堂设立“意见箱”，设立投诉举报电话(</w:t>
      </w:r>
      <w:r>
        <w:rPr>
          <w:rFonts w:hint="eastAsia" w:ascii="仿宋" w:hAnsi="仿宋" w:eastAsia="仿宋" w:cs="仿宋"/>
          <w:sz w:val="32"/>
          <w:szCs w:val="32"/>
          <w:lang w:val="en-US" w:eastAsia="zh-CN"/>
        </w:rPr>
        <w:t>6888310</w:t>
      </w:r>
      <w:r>
        <w:rPr>
          <w:rFonts w:hint="eastAsia" w:ascii="仿宋" w:hAnsi="仿宋" w:eastAsia="仿宋" w:cs="仿宋"/>
          <w:sz w:val="32"/>
          <w:szCs w:val="32"/>
        </w:rPr>
        <w:t>)，向社会公开并接受投诉举报监督。</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（三）工作人员如违反上述承诺的，服务对象可通过本条(二)项规定方式投诉举报，也可上门或向上级有关部门投诉举报。 </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经调查情况属实的，按有关规定追究相关责任 ，并在5日内向投诉举报人通报处理结果。</w:t>
      </w: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首问责任制</w:t>
      </w:r>
    </w:p>
    <w:p>
      <w:pPr>
        <w:adjustRightInd/>
        <w:snapToGrid/>
        <w:spacing w:after="0" w:line="600" w:lineRule="exact"/>
        <w:rPr>
          <w:rFonts w:ascii="仿宋_GB2312" w:eastAsia="仿宋_GB2312"/>
          <w:sz w:val="32"/>
          <w:szCs w:val="32"/>
        </w:rPr>
      </w:pPr>
      <w:r>
        <w:rPr>
          <w:rFonts w:hint="eastAsia" w:ascii="仿宋_GB2312" w:eastAsia="仿宋_GB2312"/>
          <w:sz w:val="32"/>
          <w:szCs w:val="32"/>
        </w:rPr>
        <w:t xml:space="preserve">    </w:t>
      </w:r>
    </w:p>
    <w:p>
      <w:pPr>
        <w:adjustRightInd/>
        <w:snapToGrid/>
        <w:spacing w:after="0" w:line="600" w:lineRule="exact"/>
        <w:rPr>
          <w:rFonts w:hint="eastAsia" w:ascii="仿宋" w:hAnsi="仿宋" w:eastAsia="仿宋" w:cs="仿宋"/>
          <w:sz w:val="32"/>
          <w:szCs w:val="32"/>
        </w:rPr>
      </w:pPr>
      <w:r>
        <w:rPr>
          <w:rFonts w:hint="eastAsia" w:ascii="仿宋_GB2312" w:eastAsia="仿宋_GB2312"/>
          <w:sz w:val="32"/>
          <w:szCs w:val="32"/>
        </w:rPr>
        <w:t xml:space="preserve">    </w:t>
      </w:r>
      <w:r>
        <w:rPr>
          <w:rFonts w:hint="eastAsia" w:ascii="仿宋" w:hAnsi="仿宋" w:eastAsia="仿宋" w:cs="仿宋"/>
          <w:sz w:val="32"/>
          <w:szCs w:val="32"/>
        </w:rPr>
        <w:t>为进一步加强机关作风建设，树立良好的对外形象,强化服务意识,提高服务质量，制定本制度。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服务对象咨询或办理相关事项时，首位接待或受理的工作人员应认真解答、负责办理或引荐到相关部门。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应遵循热情主动、文明办事、服务规范、及时高效的原则。应根据业务职能确定责任内容，对来访人员的姓名、单位、时间、咨询或办理事项、办理结果等进行登记。</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首问责任制以“首问负责，对口接待”为原则。首问责任人要热情接待服务对象，负有为其服务的责任，严禁使用“不知道”、“不清楚”、“不归我管”等语言敷衍搪塞或简单生硬地对待服务对象。属于业务办理事项的，首位业务受理人即为首问责任人。</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咨询或办理事项属于首问责任人所在</w:t>
      </w:r>
      <w:r>
        <w:rPr>
          <w:rFonts w:hint="eastAsia" w:ascii="仿宋" w:hAnsi="仿宋" w:eastAsia="仿宋" w:cs="仿宋"/>
          <w:sz w:val="32"/>
          <w:szCs w:val="32"/>
          <w:lang w:val="en-US" w:eastAsia="zh-CN"/>
        </w:rPr>
        <w:t>股</w:t>
      </w:r>
      <w:r>
        <w:rPr>
          <w:rFonts w:hint="eastAsia" w:ascii="仿宋" w:hAnsi="仿宋" w:eastAsia="仿宋" w:cs="仿宋"/>
          <w:sz w:val="32"/>
          <w:szCs w:val="32"/>
        </w:rPr>
        <w:t>（室）职责范围内的，按规定及时受理，能当场办理的即予现场办理；属于政策、法规规定不能及时办理的，应详细耐心地说明相关情况，需要提供相关材料的，应一次性告知所需材料和办理条件。</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咨询或办理事项不属于首问责任人职责范围内的，要主动告知或及时引荐到相关</w:t>
      </w:r>
      <w:r>
        <w:rPr>
          <w:rFonts w:hint="eastAsia" w:ascii="仿宋" w:hAnsi="仿宋" w:eastAsia="仿宋" w:cs="仿宋"/>
          <w:sz w:val="32"/>
          <w:szCs w:val="32"/>
          <w:lang w:val="en-US" w:eastAsia="zh-CN"/>
        </w:rPr>
        <w:t>股</w:t>
      </w:r>
      <w:r>
        <w:rPr>
          <w:rFonts w:hint="eastAsia" w:ascii="仿宋" w:hAnsi="仿宋" w:eastAsia="仿宋" w:cs="仿宋"/>
          <w:sz w:val="32"/>
          <w:szCs w:val="32"/>
        </w:rPr>
        <w:t>（室）。</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属于业务不明确或涉及交叉业务，首问责任人不能立即处理的，要及时请示</w:t>
      </w:r>
      <w:r>
        <w:rPr>
          <w:rFonts w:hint="eastAsia" w:ascii="仿宋" w:hAnsi="仿宋" w:eastAsia="仿宋" w:cs="仿宋"/>
          <w:sz w:val="32"/>
          <w:szCs w:val="32"/>
          <w:lang w:val="en-US" w:eastAsia="zh-CN"/>
        </w:rPr>
        <w:t>股</w:t>
      </w:r>
      <w:r>
        <w:rPr>
          <w:rFonts w:hint="eastAsia" w:ascii="仿宋" w:hAnsi="仿宋" w:eastAsia="仿宋" w:cs="仿宋"/>
          <w:sz w:val="32"/>
          <w:szCs w:val="32"/>
        </w:rPr>
        <w:t>（室）领导，协调有关业务</w:t>
      </w:r>
      <w:r>
        <w:rPr>
          <w:rFonts w:hint="eastAsia" w:ascii="仿宋" w:hAnsi="仿宋" w:eastAsia="仿宋" w:cs="仿宋"/>
          <w:sz w:val="32"/>
          <w:szCs w:val="32"/>
          <w:lang w:val="en-US" w:eastAsia="zh-CN"/>
        </w:rPr>
        <w:t>股</w:t>
      </w:r>
      <w:r>
        <w:rPr>
          <w:rFonts w:hint="eastAsia" w:ascii="仿宋" w:hAnsi="仿宋" w:eastAsia="仿宋" w:cs="仿宋"/>
          <w:sz w:val="32"/>
          <w:szCs w:val="32"/>
        </w:rPr>
        <w:t>（室）一同解决。</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不属于本单位职责范围内的事项，要予以说明，并尽己所能为服务对象给予指导帮助。</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服务对象通过电话咨询、反映问题的，接听电话的工作人员即为首问接待人。属于首问责任人职责范围内的，应认真负责回答；属于本单位其他</w:t>
      </w:r>
      <w:r>
        <w:rPr>
          <w:rFonts w:hint="eastAsia" w:ascii="仿宋" w:hAnsi="仿宋" w:eastAsia="仿宋" w:cs="仿宋"/>
          <w:sz w:val="32"/>
          <w:szCs w:val="32"/>
          <w:lang w:val="en-US" w:eastAsia="zh-CN"/>
        </w:rPr>
        <w:t>股</w:t>
      </w:r>
      <w:r>
        <w:rPr>
          <w:rFonts w:hint="eastAsia" w:ascii="仿宋" w:hAnsi="仿宋" w:eastAsia="仿宋" w:cs="仿宋"/>
          <w:sz w:val="32"/>
          <w:szCs w:val="32"/>
        </w:rPr>
        <w:t>（室）业务范围的，应将有关电话告知来电人，尽可能地为服务对象提供帮助。</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服务对象通过电话投诉、举报问题的，及时转达办公室按有规定处理。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第十条  办公室将不定期对执行情况进行检查，凡出现因态度恶劣引起纠纷或因不负责任产生不良后果的，一经查实，按有关规定追究相关责任。 </w:t>
      </w:r>
    </w:p>
    <w:p>
      <w:pPr>
        <w:adjustRightInd/>
        <w:snapToGrid/>
        <w:spacing w:after="0" w:line="600" w:lineRule="exact"/>
        <w:rPr>
          <w:rFonts w:hint="eastAsia" w:ascii="仿宋" w:hAnsi="仿宋" w:eastAsia="仿宋" w:cs="仿宋"/>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限时办结制</w:t>
      </w:r>
    </w:p>
    <w:p>
      <w:pPr>
        <w:adjustRightInd/>
        <w:snapToGrid/>
        <w:spacing w:after="0" w:line="600" w:lineRule="exact"/>
        <w:rPr>
          <w:rFonts w:ascii="仿宋_GB2312" w:eastAsia="仿宋_GB2312"/>
          <w:sz w:val="32"/>
          <w:szCs w:val="32"/>
        </w:rPr>
      </w:pPr>
      <w:r>
        <w:rPr>
          <w:rFonts w:hint="eastAsia" w:ascii="仿宋_GB2312" w:eastAsia="仿宋_GB2312"/>
          <w:sz w:val="32"/>
          <w:szCs w:val="32"/>
        </w:rPr>
        <w:t xml:space="preserve">  </w:t>
      </w:r>
    </w:p>
    <w:p>
      <w:pPr>
        <w:adjustRightInd/>
        <w:snapToGrid/>
        <w:spacing w:after="0" w:line="600" w:lineRule="exact"/>
        <w:rPr>
          <w:rFonts w:hint="eastAsia" w:ascii="仿宋" w:hAnsi="仿宋" w:eastAsia="仿宋" w:cs="仿宋"/>
          <w:sz w:val="32"/>
          <w:szCs w:val="32"/>
        </w:rPr>
      </w:pPr>
      <w:r>
        <w:rPr>
          <w:rFonts w:hint="eastAsia" w:ascii="仿宋_GB2312" w:eastAsia="仿宋_GB2312"/>
          <w:sz w:val="32"/>
          <w:szCs w:val="32"/>
        </w:rPr>
        <w:t xml:space="preserve">  </w:t>
      </w:r>
      <w:r>
        <w:rPr>
          <w:rFonts w:hint="eastAsia" w:ascii="仿宋" w:hAnsi="仿宋" w:eastAsia="仿宋" w:cs="仿宋"/>
          <w:sz w:val="32"/>
          <w:szCs w:val="32"/>
        </w:rPr>
        <w:t xml:space="preserve">  为进一步加强机关作风建设，切实提高机关办事效率，制定</w:t>
      </w:r>
      <w:r>
        <w:rPr>
          <w:rFonts w:hint="eastAsia" w:ascii="仿宋" w:hAnsi="仿宋" w:eastAsia="仿宋" w:cs="仿宋"/>
          <w:sz w:val="32"/>
          <w:szCs w:val="32"/>
          <w:lang w:val="en-US" w:eastAsia="zh-CN"/>
        </w:rPr>
        <w:t>本</w:t>
      </w:r>
      <w:r>
        <w:rPr>
          <w:rFonts w:hint="eastAsia" w:ascii="仿宋" w:hAnsi="仿宋" w:eastAsia="仿宋" w:cs="仿宋"/>
          <w:sz w:val="32"/>
          <w:szCs w:val="32"/>
        </w:rPr>
        <w:t>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限时办结制是指按照规定的时间、程序和要求处理行政事项、服务事项的制度。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限时办结制应遵循便民、准时、规范、高效、负责的原则,各</w:t>
      </w:r>
      <w:r>
        <w:rPr>
          <w:rFonts w:hint="eastAsia" w:ascii="仿宋" w:hAnsi="仿宋" w:eastAsia="仿宋" w:cs="仿宋"/>
          <w:sz w:val="32"/>
          <w:szCs w:val="32"/>
          <w:lang w:val="en-US" w:eastAsia="zh-CN"/>
        </w:rPr>
        <w:t>股</w:t>
      </w:r>
      <w:r>
        <w:rPr>
          <w:rFonts w:hint="eastAsia" w:ascii="仿宋" w:hAnsi="仿宋" w:eastAsia="仿宋" w:cs="仿宋"/>
          <w:sz w:val="32"/>
          <w:szCs w:val="32"/>
        </w:rPr>
        <w:t>室要认真落实和办理各种限时办结的行政事项及服务事项。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限时办结范围包含:各类业务办理事项、来信来访、投诉举报、领导交办事项以及其他需要及时办理的事项。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对各类业务办理事项、来信来访、投诉举报、领导交办事项以及其他需要及时办理的事项的答复,应当严格按照规定的时限办理。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各</w:t>
      </w:r>
      <w:r>
        <w:rPr>
          <w:rFonts w:hint="eastAsia" w:ascii="仿宋" w:hAnsi="仿宋" w:eastAsia="仿宋" w:cs="仿宋"/>
          <w:sz w:val="32"/>
          <w:szCs w:val="32"/>
          <w:lang w:val="en-US" w:eastAsia="zh-CN"/>
        </w:rPr>
        <w:t>股</w:t>
      </w:r>
      <w:r>
        <w:rPr>
          <w:rFonts w:hint="eastAsia" w:ascii="仿宋" w:hAnsi="仿宋" w:eastAsia="仿宋" w:cs="仿宋"/>
          <w:sz w:val="32"/>
          <w:szCs w:val="32"/>
        </w:rPr>
        <w:t>室要将各类服务事项的限时办结时间、办事程序和所需材料等,按照政务公开的有关规定向社会公告;应当以依法及时、方便群众为标准,让办事人员满意,让人民群众满意,不得推诿、拖延、扯皮和刁难。</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一次性告知制</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为进一步加强机关作风建设，简化办事程序、提高经办效率，强化服务水平，制定本制度。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一次性告知，是指在办理业务过程中，工作人员在对服务对象办事申请和咨询作出说明、解释，提供准确、可靠信息，应当一次性予以告知。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一次性告知的内容</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（一）办理业务事项的法律、政策依据、条件和要求。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（二）办理业务事项的全部申请材料。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（三）办理业务事项的程序（流程）和承诺时限。</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一次性告知的方式。</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（一）书面告知方式。服务对象来办理业务事项，按照规定一次性告知内容，提供完整的办事指南或有关说明材料。</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（二）口头告知。服务对象对书面告知内容的意思表示有不明白的，应当当面向服务对象口头说明、解释。</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（三）公示方式。在窗口公示或在网上公示法律、法规、规章规定的有关事项、依据、条件、数量、程序、期限，以及需要提供的材料等，供公众查阅。</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上述一次性告知的信息应当准确、可靠、适用。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一次性告知要求。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（一）工作人员在受理办理事项咨询时，要提供优质高效服务，做到发放资料“一手清”，回答问题“一口清”。窗口应当向服务对象提供申请办理业务事项的示范文本、办事指南等资料。</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（二）遇到服务对象咨询申请办理非本部门受理范围内的业务事项，应当告知其不予受理的原因，并指点或带领至有关窗口申请。</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一次性告知制度的责任。</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工作人员在服务工作中应当履行一次性告知的义务，承担一次性告知责任。工作人员违反本制度规定，按有关规定追究相关责任。 </w:t>
      </w:r>
    </w:p>
    <w:p>
      <w:pPr>
        <w:adjustRightInd/>
        <w:snapToGrid/>
        <w:spacing w:after="0" w:line="600" w:lineRule="exact"/>
        <w:ind w:firstLine="640" w:firstLineChars="200"/>
        <w:rPr>
          <w:rFonts w:hint="eastAsia" w:ascii="仿宋" w:hAnsi="仿宋" w:eastAsia="仿宋" w:cs="仿宋"/>
          <w:sz w:val="32"/>
          <w:szCs w:val="32"/>
        </w:rPr>
      </w:pP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岗位责任制</w:t>
      </w:r>
    </w:p>
    <w:p>
      <w:pPr>
        <w:adjustRightInd/>
        <w:snapToGrid/>
        <w:spacing w:after="0"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为进一步加强机关作风建设，建立健全岗位责任制，规范工作行为和工作程序，充分发挥我局的基本职能和运行职能，制定本制度。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各岗位工作人员应挂牌上岗，执法时应亮证执法。</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各岗位工作人员应严格履行岗位职责，在规定的办事期限内完成职责范围内的工作，若遇特殊情况必须延迟，必须及时向领导汇报。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各岗位工作人员必须坚守岗位，各就各位，非工作需要不得脱岗、离岗和串岗。</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各岗位必须保证工作时间内有工作人员在岗，经办人员因出差或其他原因无法上班的，离岗前要向</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室负责人汇报正在办理的事项，办好交接手续，</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室负责人要及时指定人员代行其职责。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第五条 各岗位工作人员应严格按职责范围办事，由下而上逐级审批或由上而下逐级开展工作。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第六条 领导交办的事情，承办人员应及时办理，不得以各种理由搪塞。</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各</w:t>
      </w:r>
      <w:r>
        <w:rPr>
          <w:rFonts w:hint="eastAsia" w:ascii="仿宋" w:hAnsi="仿宋" w:eastAsia="仿宋" w:cs="仿宋"/>
          <w:sz w:val="32"/>
          <w:szCs w:val="32"/>
          <w:lang w:val="en-US" w:eastAsia="zh-CN"/>
        </w:rPr>
        <w:t>股</w:t>
      </w:r>
      <w:r>
        <w:rPr>
          <w:rFonts w:hint="eastAsia" w:ascii="仿宋" w:hAnsi="仿宋" w:eastAsia="仿宋" w:cs="仿宋"/>
          <w:sz w:val="32"/>
          <w:szCs w:val="32"/>
        </w:rPr>
        <w:t>室负责人负责对本</w:t>
      </w:r>
      <w:r>
        <w:rPr>
          <w:rFonts w:hint="eastAsia" w:ascii="仿宋" w:hAnsi="仿宋" w:eastAsia="仿宋" w:cs="仿宋"/>
          <w:sz w:val="32"/>
          <w:szCs w:val="32"/>
          <w:lang w:val="en-US" w:eastAsia="zh-CN"/>
        </w:rPr>
        <w:t>股</w:t>
      </w:r>
      <w:r>
        <w:rPr>
          <w:rFonts w:hint="eastAsia" w:ascii="仿宋" w:hAnsi="仿宋" w:eastAsia="仿宋" w:cs="仿宋"/>
          <w:sz w:val="32"/>
          <w:szCs w:val="32"/>
        </w:rPr>
        <w:t>室人员日常履行岗位责任情况监督检查。</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各岗位工作人员责任完成情况列为年终考核主要内容，每个岗位责任人要将履行岗位责任的情况纳入年终个人总结，并进行述职，接受评议。</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AB岗工作制</w:t>
      </w:r>
    </w:p>
    <w:p>
      <w:pPr>
        <w:adjustRightInd/>
        <w:snapToGrid/>
        <w:spacing w:after="0" w:line="600" w:lineRule="exact"/>
        <w:ind w:firstLine="640" w:firstLineChars="200"/>
        <w:rPr>
          <w:rFonts w:ascii="仿宋_GB2312" w:eastAsia="仿宋_GB2312"/>
          <w:sz w:val="32"/>
          <w:szCs w:val="32"/>
        </w:rPr>
      </w:pP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为保障本局职责正常履行，保证日常工作顺利推进，方便群众办事，根据岗位责任制，制订本制度。 </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第一条 ＡＢ岗工作制是针对各</w:t>
      </w:r>
      <w:r>
        <w:rPr>
          <w:rFonts w:hint="eastAsia" w:ascii="仿宋" w:hAnsi="仿宋" w:eastAsia="仿宋" w:cs="仿宋"/>
          <w:sz w:val="32"/>
          <w:szCs w:val="32"/>
          <w:lang w:val="en-US" w:eastAsia="zh-CN"/>
        </w:rPr>
        <w:t>股</w:t>
      </w:r>
      <w:r>
        <w:rPr>
          <w:rFonts w:hint="eastAsia" w:ascii="仿宋" w:hAnsi="仿宋" w:eastAsia="仿宋" w:cs="仿宋"/>
          <w:sz w:val="32"/>
          <w:szCs w:val="32"/>
        </w:rPr>
        <w:t>（室）在办理相关业务时，岗位第一责任人不在位时，规定相应工作人员代行承办的一种工作制度。</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第二条  各</w:t>
      </w:r>
      <w:r>
        <w:rPr>
          <w:rFonts w:hint="eastAsia" w:ascii="仿宋" w:hAnsi="仿宋" w:eastAsia="仿宋" w:cs="仿宋"/>
          <w:sz w:val="32"/>
          <w:szCs w:val="32"/>
          <w:lang w:val="en-US" w:eastAsia="zh-CN"/>
        </w:rPr>
        <w:t>股</w:t>
      </w:r>
      <w:r>
        <w:rPr>
          <w:rFonts w:hint="eastAsia" w:ascii="仿宋" w:hAnsi="仿宋" w:eastAsia="仿宋" w:cs="仿宋"/>
          <w:sz w:val="32"/>
          <w:szCs w:val="32"/>
        </w:rPr>
        <w:t>室均要建立ＡＢ岗工作制，并报办公室备案。</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第三条 岗位第一责任人不在位是指因公出差、休假、病假或是由于其它原因短期不能在位履行工作职责的情况。</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第四条  第一责任人（Ａ岗）不在位时，应指定相应工作人员（Ｂ岗）代行其职责。要明确代行的范围和代行职务的原则，避免发生“缺位、错位或越位”。</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第五条 Ｂ岗责任人员应认真学习相关业务知识和技能，熟悉Ａ岗承办事项的原则规定，切实履行所替代岗位的职责，能当场办理的要当场办理，不能当场办理的要说明原因，做好记录，并及时与Ａ岗责任人沟通。</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  第六条 Ａ岗责任人离开岗位，未交代Ｂ岗责任人代行承办业务，造成工作缺位并引起不良后果的，由Ａ岗责任人承担相应责任。</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第七条 Ｂ岗责任人在代行Ａ岗责任期间，不履行或不能正确履行相关职责，造成不良后果，由B岗责任人承担相应责任。</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第八条 各工作岗位均不得以组织学习、经办人员不在位等理由出现业务间断或拒绝、推诿、扯皮等现象。</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第九条 窗口部门的岗位，工作时间绝不能出现空岗，以确保工作正常开展。</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第十条 对违反ＡＢ岗工作制度，推诿、扯皮造成工作失误，按有关规定追究相关责任。 </w:t>
      </w: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p>
    <w:p>
      <w:pPr>
        <w:adjustRightInd/>
        <w:snapToGrid/>
        <w:spacing w:after="0"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窗口文明服务规范用语</w:t>
      </w:r>
    </w:p>
    <w:p>
      <w:pPr>
        <w:adjustRightInd/>
        <w:snapToGrid/>
        <w:spacing w:after="0"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一、首问语</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（一）早上好/中午好/下午好。</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（二）您好，请问有什么可以帮您？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（三）不好意思，让您久等了。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（四）如逢节假日，可使用“新年好、国庆快乐”等节日问候语。</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二、过程语</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（一）请问您需要办理什么业务？</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（二）请您到××窗口办理。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（三）很抱歉，您的方言我听不太明白，麻烦您讲普通话，好吗？</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（四）对不起，请稍等。</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（五）请您配合，谢谢合作。</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（六）请您提供……</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（七）很抱歉，您还需要提供……</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（八）您好，感谢您的耐心等待！</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（九）非常抱歉，您要办理的事项不属于我们的业务范围，建议您……</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三、结束语</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（一）您的业务已办理完毕，请收好资料和证件，再见。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（二）很高兴为您服务，再见。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（三）不客气，这是我们应该做的。</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（四）请对我们的服务进行评价，谢谢您的支持。</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（五）很高兴得到您的认可，我们会继续努力，谢谢。</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四、应急用语</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（一）您好，先生/女士，您不要着急/激动，您的心情我能够理解。</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（二）很抱歉给您带来不便，请您谅解，对于您刚才指出的问题，我们将尽快处理。</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（三）谢谢您提出的宝贵建议（意见），我们将及时反馈给相关部门。</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（四）非常感谢您指出我的不足，对于您刚才指出的问题……，我诚恳地向您表示歉意。</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（五）您好，这里是医保部门服务窗口，如果是医保方面的问题，我很乐意为您解答。如果您没有相关要咨询的问题，请您让后面等待的群众办理，好吗？</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（六）非常抱歉，您的需求超出了我们的服务范围，很遗憾无法帮助到您。还有很多群众需要我们提供服务，请您让后面的群众先办理，好吗？</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（七）非常抱歉，您所提到的问题我们需要进一步与相关部门联系，请您留下有效联系方式，我们会尽快由专人和您联系，好吗？</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（八）政策的完善需要一定时间，请您谅解，希望您能耐心等待。</w:t>
      </w:r>
    </w:p>
    <w:p>
      <w:pPr>
        <w:adjustRightInd/>
        <w:snapToGrid/>
        <w:spacing w:after="0"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五、服务忌语</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（一）不规范的言语。例如：喂，到你了！/我不知道，不归我管！/我哪知道什么时候办好。</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（二）态度冷漠的言语。例如：你来的太早，坐那里等去。/急什么？没看我一直在忙吗？/你讲什么我不懂。</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（三）敷衍推诿的言语。例如：墙上贴着有，你自己看去。/有疑问，上网查去。/你问我，我问谁？这个我怎么知道？</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（四）埋怨群众的言语。例如：烦死啦，讨厌，真烦人！/不是告诉你了吗？怎么还不明白。/怎么不早来，快下班了，明天再来办。</w:t>
      </w:r>
    </w:p>
    <w:p>
      <w:pPr>
        <w:adjustRightInd/>
        <w:snapToGrid/>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（五）激化矛盾的言语。例如：有意见找领导去！/不行就不行！/你去投诉好！</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（六）反问教训的言语。例如：我讲得很清楚了，你还没懂？我是为你一个人在服务吗？</w:t>
      </w:r>
    </w:p>
    <w:p>
      <w:pPr>
        <w:adjustRightInd/>
        <w:snapToGrid/>
        <w:spacing w:after="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（七）侮辱性的言语。例如：怎么基本常识都不懂！这个我说了你也不懂。</w:t>
      </w:r>
    </w:p>
    <w:sectPr>
      <w:footerReference r:id="rId3" w:type="default"/>
      <w:pgSz w:w="11906" w:h="16838"/>
      <w:pgMar w:top="1701" w:right="1361" w:bottom="1361" w:left="136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82336"/>
      <w:docPartObj>
        <w:docPartGallery w:val="autotext"/>
      </w:docPartObj>
    </w:sdtPr>
    <w:sdtContent>
      <w:p>
        <w:pPr>
          <w:pStyle w:val="5"/>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AB2354"/>
    <w:multiLevelType w:val="singleLevel"/>
    <w:tmpl w:val="B2AB235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131300"/>
    <w:rsid w:val="00001071"/>
    <w:rsid w:val="000049C7"/>
    <w:rsid w:val="00004B46"/>
    <w:rsid w:val="00005FC9"/>
    <w:rsid w:val="00010DB5"/>
    <w:rsid w:val="000112A7"/>
    <w:rsid w:val="000121DF"/>
    <w:rsid w:val="00015164"/>
    <w:rsid w:val="00020D66"/>
    <w:rsid w:val="00026D5B"/>
    <w:rsid w:val="00030938"/>
    <w:rsid w:val="000350DF"/>
    <w:rsid w:val="00035DF8"/>
    <w:rsid w:val="0003724E"/>
    <w:rsid w:val="0003743B"/>
    <w:rsid w:val="0004328D"/>
    <w:rsid w:val="0004518A"/>
    <w:rsid w:val="0005361C"/>
    <w:rsid w:val="000547DF"/>
    <w:rsid w:val="0005485E"/>
    <w:rsid w:val="00055D05"/>
    <w:rsid w:val="0006293C"/>
    <w:rsid w:val="00067447"/>
    <w:rsid w:val="00070F9C"/>
    <w:rsid w:val="00077682"/>
    <w:rsid w:val="0008424A"/>
    <w:rsid w:val="000961AA"/>
    <w:rsid w:val="000A6C16"/>
    <w:rsid w:val="000B0D9C"/>
    <w:rsid w:val="000B3613"/>
    <w:rsid w:val="000B73FD"/>
    <w:rsid w:val="000C013C"/>
    <w:rsid w:val="000C07FB"/>
    <w:rsid w:val="000C14BA"/>
    <w:rsid w:val="000C230F"/>
    <w:rsid w:val="000C2E11"/>
    <w:rsid w:val="000C39A6"/>
    <w:rsid w:val="000C692B"/>
    <w:rsid w:val="000E0D3E"/>
    <w:rsid w:val="000E1DA0"/>
    <w:rsid w:val="000E2CED"/>
    <w:rsid w:val="000E42EB"/>
    <w:rsid w:val="000E5229"/>
    <w:rsid w:val="000F0E48"/>
    <w:rsid w:val="000F4C4B"/>
    <w:rsid w:val="000F5502"/>
    <w:rsid w:val="000F62F3"/>
    <w:rsid w:val="00101208"/>
    <w:rsid w:val="00101595"/>
    <w:rsid w:val="00112AD9"/>
    <w:rsid w:val="00112D1B"/>
    <w:rsid w:val="001148B7"/>
    <w:rsid w:val="0012183A"/>
    <w:rsid w:val="00124820"/>
    <w:rsid w:val="001307EC"/>
    <w:rsid w:val="0013082E"/>
    <w:rsid w:val="00131300"/>
    <w:rsid w:val="001354FA"/>
    <w:rsid w:val="00136181"/>
    <w:rsid w:val="001370DD"/>
    <w:rsid w:val="0014193E"/>
    <w:rsid w:val="001423BE"/>
    <w:rsid w:val="0015196B"/>
    <w:rsid w:val="00154BF3"/>
    <w:rsid w:val="00154F2C"/>
    <w:rsid w:val="001612DA"/>
    <w:rsid w:val="00166252"/>
    <w:rsid w:val="0016777A"/>
    <w:rsid w:val="0017315B"/>
    <w:rsid w:val="001824B9"/>
    <w:rsid w:val="0018519F"/>
    <w:rsid w:val="0019507D"/>
    <w:rsid w:val="00195CBD"/>
    <w:rsid w:val="001A1368"/>
    <w:rsid w:val="001A189C"/>
    <w:rsid w:val="001B2E1D"/>
    <w:rsid w:val="001B32E3"/>
    <w:rsid w:val="001C59B3"/>
    <w:rsid w:val="001C712A"/>
    <w:rsid w:val="001D27CC"/>
    <w:rsid w:val="001D58CC"/>
    <w:rsid w:val="001D5C80"/>
    <w:rsid w:val="001D6613"/>
    <w:rsid w:val="001E2210"/>
    <w:rsid w:val="001E37C0"/>
    <w:rsid w:val="001E6D12"/>
    <w:rsid w:val="001F4231"/>
    <w:rsid w:val="001F473E"/>
    <w:rsid w:val="002001C1"/>
    <w:rsid w:val="00200CA8"/>
    <w:rsid w:val="00201E2F"/>
    <w:rsid w:val="00205DAE"/>
    <w:rsid w:val="00223F7F"/>
    <w:rsid w:val="00224D68"/>
    <w:rsid w:val="00227F07"/>
    <w:rsid w:val="00231AD7"/>
    <w:rsid w:val="00236734"/>
    <w:rsid w:val="00241E8F"/>
    <w:rsid w:val="0024479B"/>
    <w:rsid w:val="00244E0A"/>
    <w:rsid w:val="0025104B"/>
    <w:rsid w:val="00253A8F"/>
    <w:rsid w:val="00254A80"/>
    <w:rsid w:val="00264734"/>
    <w:rsid w:val="002711CA"/>
    <w:rsid w:val="00276190"/>
    <w:rsid w:val="00277BD6"/>
    <w:rsid w:val="002801EC"/>
    <w:rsid w:val="002819D8"/>
    <w:rsid w:val="00282A28"/>
    <w:rsid w:val="002878BA"/>
    <w:rsid w:val="002941E7"/>
    <w:rsid w:val="0029567F"/>
    <w:rsid w:val="002A0B41"/>
    <w:rsid w:val="002A13DB"/>
    <w:rsid w:val="002A424D"/>
    <w:rsid w:val="002B3796"/>
    <w:rsid w:val="002C10DB"/>
    <w:rsid w:val="002C3548"/>
    <w:rsid w:val="002C57F6"/>
    <w:rsid w:val="002D181C"/>
    <w:rsid w:val="002D1CA8"/>
    <w:rsid w:val="002D446C"/>
    <w:rsid w:val="002E331A"/>
    <w:rsid w:val="002E69FF"/>
    <w:rsid w:val="002E6EAF"/>
    <w:rsid w:val="002F2F14"/>
    <w:rsid w:val="002F3474"/>
    <w:rsid w:val="002F7ADD"/>
    <w:rsid w:val="00315718"/>
    <w:rsid w:val="00315C09"/>
    <w:rsid w:val="00316324"/>
    <w:rsid w:val="00320456"/>
    <w:rsid w:val="00323B43"/>
    <w:rsid w:val="00323FFF"/>
    <w:rsid w:val="00324C59"/>
    <w:rsid w:val="00325C47"/>
    <w:rsid w:val="00330B90"/>
    <w:rsid w:val="00331EF8"/>
    <w:rsid w:val="003351BC"/>
    <w:rsid w:val="003447A8"/>
    <w:rsid w:val="00350430"/>
    <w:rsid w:val="003511BF"/>
    <w:rsid w:val="00352A6E"/>
    <w:rsid w:val="00354780"/>
    <w:rsid w:val="003653A5"/>
    <w:rsid w:val="00367E0F"/>
    <w:rsid w:val="00370285"/>
    <w:rsid w:val="003771EF"/>
    <w:rsid w:val="0038241F"/>
    <w:rsid w:val="003866E6"/>
    <w:rsid w:val="00390776"/>
    <w:rsid w:val="00392B55"/>
    <w:rsid w:val="003A08EA"/>
    <w:rsid w:val="003B0BE6"/>
    <w:rsid w:val="003B3349"/>
    <w:rsid w:val="003C39FD"/>
    <w:rsid w:val="003C3FB0"/>
    <w:rsid w:val="003C469E"/>
    <w:rsid w:val="003C5937"/>
    <w:rsid w:val="003D017F"/>
    <w:rsid w:val="003D02F2"/>
    <w:rsid w:val="003D1AF2"/>
    <w:rsid w:val="003D227E"/>
    <w:rsid w:val="003D37D8"/>
    <w:rsid w:val="003D443D"/>
    <w:rsid w:val="003D6C41"/>
    <w:rsid w:val="003E5E68"/>
    <w:rsid w:val="003E6D01"/>
    <w:rsid w:val="003E7262"/>
    <w:rsid w:val="003F4247"/>
    <w:rsid w:val="003F48B2"/>
    <w:rsid w:val="00400BCB"/>
    <w:rsid w:val="00411AC7"/>
    <w:rsid w:val="0041777B"/>
    <w:rsid w:val="004236CB"/>
    <w:rsid w:val="00425F68"/>
    <w:rsid w:val="00426873"/>
    <w:rsid w:val="004358AB"/>
    <w:rsid w:val="0043690C"/>
    <w:rsid w:val="00445043"/>
    <w:rsid w:val="00453909"/>
    <w:rsid w:val="0045730F"/>
    <w:rsid w:val="00457F63"/>
    <w:rsid w:val="004609B2"/>
    <w:rsid w:val="00465B83"/>
    <w:rsid w:val="00470B79"/>
    <w:rsid w:val="004759E0"/>
    <w:rsid w:val="0047723B"/>
    <w:rsid w:val="00484478"/>
    <w:rsid w:val="00487593"/>
    <w:rsid w:val="00491FA7"/>
    <w:rsid w:val="0049312C"/>
    <w:rsid w:val="0049535D"/>
    <w:rsid w:val="00496CB1"/>
    <w:rsid w:val="00497382"/>
    <w:rsid w:val="004A211C"/>
    <w:rsid w:val="004A3B30"/>
    <w:rsid w:val="004A447E"/>
    <w:rsid w:val="004B113D"/>
    <w:rsid w:val="004B49F6"/>
    <w:rsid w:val="004C2D04"/>
    <w:rsid w:val="004C59B0"/>
    <w:rsid w:val="004D01FE"/>
    <w:rsid w:val="004D379A"/>
    <w:rsid w:val="004D48A1"/>
    <w:rsid w:val="004D4960"/>
    <w:rsid w:val="004D5FE2"/>
    <w:rsid w:val="004E0D1F"/>
    <w:rsid w:val="004F1190"/>
    <w:rsid w:val="004F470E"/>
    <w:rsid w:val="00500BD0"/>
    <w:rsid w:val="00502544"/>
    <w:rsid w:val="00502671"/>
    <w:rsid w:val="0050766A"/>
    <w:rsid w:val="00511ADE"/>
    <w:rsid w:val="005129E1"/>
    <w:rsid w:val="00515708"/>
    <w:rsid w:val="00517114"/>
    <w:rsid w:val="0053146A"/>
    <w:rsid w:val="0053430C"/>
    <w:rsid w:val="00540935"/>
    <w:rsid w:val="005454B5"/>
    <w:rsid w:val="0055176B"/>
    <w:rsid w:val="00551852"/>
    <w:rsid w:val="00553B21"/>
    <w:rsid w:val="0055540D"/>
    <w:rsid w:val="005573D3"/>
    <w:rsid w:val="00564BE0"/>
    <w:rsid w:val="005660E8"/>
    <w:rsid w:val="00567149"/>
    <w:rsid w:val="005705A4"/>
    <w:rsid w:val="0057659F"/>
    <w:rsid w:val="00582B9E"/>
    <w:rsid w:val="0058787C"/>
    <w:rsid w:val="005926F1"/>
    <w:rsid w:val="00594FA2"/>
    <w:rsid w:val="00597DB2"/>
    <w:rsid w:val="005A16D6"/>
    <w:rsid w:val="005B12CB"/>
    <w:rsid w:val="005B1F42"/>
    <w:rsid w:val="005B2107"/>
    <w:rsid w:val="005B572B"/>
    <w:rsid w:val="005B7EC4"/>
    <w:rsid w:val="005C033F"/>
    <w:rsid w:val="005C1A17"/>
    <w:rsid w:val="005C23AA"/>
    <w:rsid w:val="005C4E74"/>
    <w:rsid w:val="005C635B"/>
    <w:rsid w:val="005C72C1"/>
    <w:rsid w:val="005D634C"/>
    <w:rsid w:val="005E4444"/>
    <w:rsid w:val="005F5B10"/>
    <w:rsid w:val="005F63EC"/>
    <w:rsid w:val="005F70E4"/>
    <w:rsid w:val="00601124"/>
    <w:rsid w:val="00605511"/>
    <w:rsid w:val="00607094"/>
    <w:rsid w:val="0061166F"/>
    <w:rsid w:val="00612395"/>
    <w:rsid w:val="00615BD2"/>
    <w:rsid w:val="0062447F"/>
    <w:rsid w:val="006329D1"/>
    <w:rsid w:val="00634692"/>
    <w:rsid w:val="00640481"/>
    <w:rsid w:val="0064650E"/>
    <w:rsid w:val="00646529"/>
    <w:rsid w:val="00650C40"/>
    <w:rsid w:val="00652745"/>
    <w:rsid w:val="006565B6"/>
    <w:rsid w:val="00656DC5"/>
    <w:rsid w:val="00663936"/>
    <w:rsid w:val="00675F3C"/>
    <w:rsid w:val="006763B9"/>
    <w:rsid w:val="00681ABC"/>
    <w:rsid w:val="00687348"/>
    <w:rsid w:val="00687F71"/>
    <w:rsid w:val="00690E05"/>
    <w:rsid w:val="00692F9C"/>
    <w:rsid w:val="00696A3F"/>
    <w:rsid w:val="006A0747"/>
    <w:rsid w:val="006A3680"/>
    <w:rsid w:val="006A3730"/>
    <w:rsid w:val="006A61F3"/>
    <w:rsid w:val="006B0893"/>
    <w:rsid w:val="006B155A"/>
    <w:rsid w:val="006C7B25"/>
    <w:rsid w:val="006C7EFC"/>
    <w:rsid w:val="006D106B"/>
    <w:rsid w:val="006D2FBF"/>
    <w:rsid w:val="006D38BA"/>
    <w:rsid w:val="006D6B9F"/>
    <w:rsid w:val="006E1557"/>
    <w:rsid w:val="006E2B08"/>
    <w:rsid w:val="006E31C8"/>
    <w:rsid w:val="006E3577"/>
    <w:rsid w:val="006E5AA3"/>
    <w:rsid w:val="006F14D2"/>
    <w:rsid w:val="006F451B"/>
    <w:rsid w:val="006F7E46"/>
    <w:rsid w:val="007031A0"/>
    <w:rsid w:val="00705887"/>
    <w:rsid w:val="0071229C"/>
    <w:rsid w:val="00713CAE"/>
    <w:rsid w:val="007232D0"/>
    <w:rsid w:val="0072593C"/>
    <w:rsid w:val="0073187E"/>
    <w:rsid w:val="00733F77"/>
    <w:rsid w:val="00736BC9"/>
    <w:rsid w:val="00740D06"/>
    <w:rsid w:val="0074164A"/>
    <w:rsid w:val="00745D29"/>
    <w:rsid w:val="00752B4A"/>
    <w:rsid w:val="007565B5"/>
    <w:rsid w:val="00756E1E"/>
    <w:rsid w:val="0075768D"/>
    <w:rsid w:val="0076090A"/>
    <w:rsid w:val="00760E17"/>
    <w:rsid w:val="00760F68"/>
    <w:rsid w:val="00764BB9"/>
    <w:rsid w:val="00772D3A"/>
    <w:rsid w:val="0077377F"/>
    <w:rsid w:val="007749BD"/>
    <w:rsid w:val="007758F7"/>
    <w:rsid w:val="00777ADB"/>
    <w:rsid w:val="00782D4E"/>
    <w:rsid w:val="00784129"/>
    <w:rsid w:val="00787349"/>
    <w:rsid w:val="007A05ED"/>
    <w:rsid w:val="007A56B8"/>
    <w:rsid w:val="007A6B61"/>
    <w:rsid w:val="007A75D4"/>
    <w:rsid w:val="007A7CC1"/>
    <w:rsid w:val="007B1648"/>
    <w:rsid w:val="007B225B"/>
    <w:rsid w:val="007B3A40"/>
    <w:rsid w:val="007B5AFB"/>
    <w:rsid w:val="007C2384"/>
    <w:rsid w:val="007C276B"/>
    <w:rsid w:val="007C2B49"/>
    <w:rsid w:val="007C2E87"/>
    <w:rsid w:val="007C399C"/>
    <w:rsid w:val="007C4531"/>
    <w:rsid w:val="007C61A4"/>
    <w:rsid w:val="007E25A3"/>
    <w:rsid w:val="007F3352"/>
    <w:rsid w:val="00805E57"/>
    <w:rsid w:val="0080654A"/>
    <w:rsid w:val="008135E6"/>
    <w:rsid w:val="00813AB3"/>
    <w:rsid w:val="00813C93"/>
    <w:rsid w:val="00814B30"/>
    <w:rsid w:val="00820A5C"/>
    <w:rsid w:val="00821959"/>
    <w:rsid w:val="00823208"/>
    <w:rsid w:val="00823369"/>
    <w:rsid w:val="008301D6"/>
    <w:rsid w:val="008520DA"/>
    <w:rsid w:val="008522E0"/>
    <w:rsid w:val="00855133"/>
    <w:rsid w:val="00856A13"/>
    <w:rsid w:val="00860898"/>
    <w:rsid w:val="008641E6"/>
    <w:rsid w:val="008652E4"/>
    <w:rsid w:val="008709BF"/>
    <w:rsid w:val="0087385D"/>
    <w:rsid w:val="00873B02"/>
    <w:rsid w:val="008741E2"/>
    <w:rsid w:val="008748F2"/>
    <w:rsid w:val="00887B05"/>
    <w:rsid w:val="00891FD6"/>
    <w:rsid w:val="00895269"/>
    <w:rsid w:val="00895FBC"/>
    <w:rsid w:val="00896651"/>
    <w:rsid w:val="008A2F0A"/>
    <w:rsid w:val="008A46F1"/>
    <w:rsid w:val="008B033D"/>
    <w:rsid w:val="008B0DC0"/>
    <w:rsid w:val="008B0EBB"/>
    <w:rsid w:val="008B7726"/>
    <w:rsid w:val="008C127C"/>
    <w:rsid w:val="008C16CC"/>
    <w:rsid w:val="008C3CFE"/>
    <w:rsid w:val="008C564D"/>
    <w:rsid w:val="008C5F08"/>
    <w:rsid w:val="008C6469"/>
    <w:rsid w:val="008D48CC"/>
    <w:rsid w:val="008D620A"/>
    <w:rsid w:val="008D76C5"/>
    <w:rsid w:val="008E1776"/>
    <w:rsid w:val="008E3327"/>
    <w:rsid w:val="008E3910"/>
    <w:rsid w:val="008F0257"/>
    <w:rsid w:val="008F0829"/>
    <w:rsid w:val="008F48FA"/>
    <w:rsid w:val="00900163"/>
    <w:rsid w:val="00901574"/>
    <w:rsid w:val="009074C5"/>
    <w:rsid w:val="009111FF"/>
    <w:rsid w:val="00911570"/>
    <w:rsid w:val="009149E3"/>
    <w:rsid w:val="00914EDE"/>
    <w:rsid w:val="00921F8F"/>
    <w:rsid w:val="00930711"/>
    <w:rsid w:val="009311E3"/>
    <w:rsid w:val="009322F4"/>
    <w:rsid w:val="009357C8"/>
    <w:rsid w:val="009373BD"/>
    <w:rsid w:val="00937CBB"/>
    <w:rsid w:val="009414FF"/>
    <w:rsid w:val="009421F0"/>
    <w:rsid w:val="009442E7"/>
    <w:rsid w:val="009455B6"/>
    <w:rsid w:val="00946156"/>
    <w:rsid w:val="00960188"/>
    <w:rsid w:val="00960778"/>
    <w:rsid w:val="0096248C"/>
    <w:rsid w:val="00966A1F"/>
    <w:rsid w:val="009711A7"/>
    <w:rsid w:val="00985359"/>
    <w:rsid w:val="0098788A"/>
    <w:rsid w:val="009B2693"/>
    <w:rsid w:val="009C6502"/>
    <w:rsid w:val="009D2BAE"/>
    <w:rsid w:val="009D5423"/>
    <w:rsid w:val="009D7A60"/>
    <w:rsid w:val="009E3169"/>
    <w:rsid w:val="009F1FF9"/>
    <w:rsid w:val="009F2797"/>
    <w:rsid w:val="009F33F6"/>
    <w:rsid w:val="009F5FB0"/>
    <w:rsid w:val="00A0005C"/>
    <w:rsid w:val="00A00D81"/>
    <w:rsid w:val="00A04AA0"/>
    <w:rsid w:val="00A0513E"/>
    <w:rsid w:val="00A206B6"/>
    <w:rsid w:val="00A242B7"/>
    <w:rsid w:val="00A26742"/>
    <w:rsid w:val="00A27091"/>
    <w:rsid w:val="00A32AF6"/>
    <w:rsid w:val="00A32E3B"/>
    <w:rsid w:val="00A3369A"/>
    <w:rsid w:val="00A40A02"/>
    <w:rsid w:val="00A43183"/>
    <w:rsid w:val="00A43C45"/>
    <w:rsid w:val="00A47E80"/>
    <w:rsid w:val="00A538C9"/>
    <w:rsid w:val="00A555FA"/>
    <w:rsid w:val="00A56394"/>
    <w:rsid w:val="00A605F0"/>
    <w:rsid w:val="00A60F78"/>
    <w:rsid w:val="00A64653"/>
    <w:rsid w:val="00A657DE"/>
    <w:rsid w:val="00A67EEB"/>
    <w:rsid w:val="00A72E01"/>
    <w:rsid w:val="00A840B9"/>
    <w:rsid w:val="00A87019"/>
    <w:rsid w:val="00A90EC0"/>
    <w:rsid w:val="00A91A2E"/>
    <w:rsid w:val="00A92AF3"/>
    <w:rsid w:val="00A94A2E"/>
    <w:rsid w:val="00AA65C7"/>
    <w:rsid w:val="00AA6FAF"/>
    <w:rsid w:val="00AB0536"/>
    <w:rsid w:val="00AB2056"/>
    <w:rsid w:val="00AB7723"/>
    <w:rsid w:val="00AB7E71"/>
    <w:rsid w:val="00AC1FE2"/>
    <w:rsid w:val="00AC3556"/>
    <w:rsid w:val="00AC401D"/>
    <w:rsid w:val="00AD11A4"/>
    <w:rsid w:val="00AD6FAC"/>
    <w:rsid w:val="00AE0550"/>
    <w:rsid w:val="00AE178A"/>
    <w:rsid w:val="00AF1CCB"/>
    <w:rsid w:val="00AF3083"/>
    <w:rsid w:val="00AF3DC3"/>
    <w:rsid w:val="00AF42F3"/>
    <w:rsid w:val="00AF5092"/>
    <w:rsid w:val="00AF74DB"/>
    <w:rsid w:val="00AF74EA"/>
    <w:rsid w:val="00B047A2"/>
    <w:rsid w:val="00B06546"/>
    <w:rsid w:val="00B0692A"/>
    <w:rsid w:val="00B06C44"/>
    <w:rsid w:val="00B11309"/>
    <w:rsid w:val="00B22447"/>
    <w:rsid w:val="00B242A8"/>
    <w:rsid w:val="00B41245"/>
    <w:rsid w:val="00B427B4"/>
    <w:rsid w:val="00B44206"/>
    <w:rsid w:val="00B532C8"/>
    <w:rsid w:val="00B572B0"/>
    <w:rsid w:val="00B64ABD"/>
    <w:rsid w:val="00B658D2"/>
    <w:rsid w:val="00B66838"/>
    <w:rsid w:val="00B71CB8"/>
    <w:rsid w:val="00B72302"/>
    <w:rsid w:val="00B807C4"/>
    <w:rsid w:val="00B81B02"/>
    <w:rsid w:val="00B830E9"/>
    <w:rsid w:val="00B85CA3"/>
    <w:rsid w:val="00B91720"/>
    <w:rsid w:val="00B9705C"/>
    <w:rsid w:val="00BA0ADE"/>
    <w:rsid w:val="00BA4C8E"/>
    <w:rsid w:val="00BA534B"/>
    <w:rsid w:val="00BB4C26"/>
    <w:rsid w:val="00BB69D0"/>
    <w:rsid w:val="00BC46EA"/>
    <w:rsid w:val="00BC5DF7"/>
    <w:rsid w:val="00BD050B"/>
    <w:rsid w:val="00BD323B"/>
    <w:rsid w:val="00BD54D2"/>
    <w:rsid w:val="00BE3D06"/>
    <w:rsid w:val="00BE6F68"/>
    <w:rsid w:val="00BF388F"/>
    <w:rsid w:val="00C01E2C"/>
    <w:rsid w:val="00C12135"/>
    <w:rsid w:val="00C162B7"/>
    <w:rsid w:val="00C21A11"/>
    <w:rsid w:val="00C27A9C"/>
    <w:rsid w:val="00C34094"/>
    <w:rsid w:val="00C44960"/>
    <w:rsid w:val="00C538B2"/>
    <w:rsid w:val="00C562E0"/>
    <w:rsid w:val="00C65F71"/>
    <w:rsid w:val="00C67BE1"/>
    <w:rsid w:val="00C72494"/>
    <w:rsid w:val="00C83ED1"/>
    <w:rsid w:val="00C84A1E"/>
    <w:rsid w:val="00C9662F"/>
    <w:rsid w:val="00CA42AA"/>
    <w:rsid w:val="00CC2B0C"/>
    <w:rsid w:val="00CC5D62"/>
    <w:rsid w:val="00CD3099"/>
    <w:rsid w:val="00CD49BB"/>
    <w:rsid w:val="00CD4A0A"/>
    <w:rsid w:val="00CD588C"/>
    <w:rsid w:val="00CD617C"/>
    <w:rsid w:val="00CE4A01"/>
    <w:rsid w:val="00CE73BE"/>
    <w:rsid w:val="00CF0B17"/>
    <w:rsid w:val="00CF307B"/>
    <w:rsid w:val="00CF3BCF"/>
    <w:rsid w:val="00CF68EF"/>
    <w:rsid w:val="00D01846"/>
    <w:rsid w:val="00D12018"/>
    <w:rsid w:val="00D231A3"/>
    <w:rsid w:val="00D2443D"/>
    <w:rsid w:val="00D30852"/>
    <w:rsid w:val="00D30F65"/>
    <w:rsid w:val="00D3387B"/>
    <w:rsid w:val="00D34C0B"/>
    <w:rsid w:val="00D41A46"/>
    <w:rsid w:val="00D54DE3"/>
    <w:rsid w:val="00D55138"/>
    <w:rsid w:val="00D576DF"/>
    <w:rsid w:val="00D579CC"/>
    <w:rsid w:val="00D57B4D"/>
    <w:rsid w:val="00D6647F"/>
    <w:rsid w:val="00D70C90"/>
    <w:rsid w:val="00D713B3"/>
    <w:rsid w:val="00D72C8D"/>
    <w:rsid w:val="00D75523"/>
    <w:rsid w:val="00D7598A"/>
    <w:rsid w:val="00D76C39"/>
    <w:rsid w:val="00D8370E"/>
    <w:rsid w:val="00D925C5"/>
    <w:rsid w:val="00D93D3B"/>
    <w:rsid w:val="00D9520E"/>
    <w:rsid w:val="00DA1175"/>
    <w:rsid w:val="00DA1B40"/>
    <w:rsid w:val="00DA3652"/>
    <w:rsid w:val="00DB45AB"/>
    <w:rsid w:val="00DC1E24"/>
    <w:rsid w:val="00DC3118"/>
    <w:rsid w:val="00DC4F57"/>
    <w:rsid w:val="00DD1D28"/>
    <w:rsid w:val="00DD3054"/>
    <w:rsid w:val="00DE4004"/>
    <w:rsid w:val="00DE7131"/>
    <w:rsid w:val="00DF25BE"/>
    <w:rsid w:val="00DF440C"/>
    <w:rsid w:val="00DF74D9"/>
    <w:rsid w:val="00E00954"/>
    <w:rsid w:val="00E029EF"/>
    <w:rsid w:val="00E0628D"/>
    <w:rsid w:val="00E078B5"/>
    <w:rsid w:val="00E1074A"/>
    <w:rsid w:val="00E10E6F"/>
    <w:rsid w:val="00E114E6"/>
    <w:rsid w:val="00E14242"/>
    <w:rsid w:val="00E14995"/>
    <w:rsid w:val="00E14DFC"/>
    <w:rsid w:val="00E201B7"/>
    <w:rsid w:val="00E22D67"/>
    <w:rsid w:val="00E25B3D"/>
    <w:rsid w:val="00E27528"/>
    <w:rsid w:val="00E30A5B"/>
    <w:rsid w:val="00E3410C"/>
    <w:rsid w:val="00E36755"/>
    <w:rsid w:val="00E41C2E"/>
    <w:rsid w:val="00E4724A"/>
    <w:rsid w:val="00E47282"/>
    <w:rsid w:val="00E517E7"/>
    <w:rsid w:val="00E5385F"/>
    <w:rsid w:val="00E5674C"/>
    <w:rsid w:val="00E569D2"/>
    <w:rsid w:val="00E61E04"/>
    <w:rsid w:val="00E61EC4"/>
    <w:rsid w:val="00E66043"/>
    <w:rsid w:val="00E703DF"/>
    <w:rsid w:val="00E75D46"/>
    <w:rsid w:val="00E83DE7"/>
    <w:rsid w:val="00E84E4F"/>
    <w:rsid w:val="00E84E70"/>
    <w:rsid w:val="00E90AB5"/>
    <w:rsid w:val="00E926CA"/>
    <w:rsid w:val="00E97382"/>
    <w:rsid w:val="00EA0D1E"/>
    <w:rsid w:val="00EA2A71"/>
    <w:rsid w:val="00EA4890"/>
    <w:rsid w:val="00EA76E1"/>
    <w:rsid w:val="00EB1408"/>
    <w:rsid w:val="00EC4E33"/>
    <w:rsid w:val="00EC6783"/>
    <w:rsid w:val="00EE0D95"/>
    <w:rsid w:val="00EE5B0D"/>
    <w:rsid w:val="00EE749A"/>
    <w:rsid w:val="00EE7955"/>
    <w:rsid w:val="00EF2227"/>
    <w:rsid w:val="00EF2DA2"/>
    <w:rsid w:val="00F01F05"/>
    <w:rsid w:val="00F0465A"/>
    <w:rsid w:val="00F056F5"/>
    <w:rsid w:val="00F1065B"/>
    <w:rsid w:val="00F13BE7"/>
    <w:rsid w:val="00F1565D"/>
    <w:rsid w:val="00F216A2"/>
    <w:rsid w:val="00F26B87"/>
    <w:rsid w:val="00F31E70"/>
    <w:rsid w:val="00F41962"/>
    <w:rsid w:val="00F41BF3"/>
    <w:rsid w:val="00F42C7C"/>
    <w:rsid w:val="00F4338D"/>
    <w:rsid w:val="00F46647"/>
    <w:rsid w:val="00F5473D"/>
    <w:rsid w:val="00F576A9"/>
    <w:rsid w:val="00F64ABD"/>
    <w:rsid w:val="00F671E2"/>
    <w:rsid w:val="00F75B82"/>
    <w:rsid w:val="00F75F7D"/>
    <w:rsid w:val="00F76D40"/>
    <w:rsid w:val="00F76DF8"/>
    <w:rsid w:val="00F77AD7"/>
    <w:rsid w:val="00F91CF2"/>
    <w:rsid w:val="00F923A9"/>
    <w:rsid w:val="00F94E55"/>
    <w:rsid w:val="00F95C32"/>
    <w:rsid w:val="00FA09A4"/>
    <w:rsid w:val="00FA258C"/>
    <w:rsid w:val="00FA282E"/>
    <w:rsid w:val="00FA40EE"/>
    <w:rsid w:val="00FA5C56"/>
    <w:rsid w:val="00FB03DD"/>
    <w:rsid w:val="00FB294D"/>
    <w:rsid w:val="00FB497C"/>
    <w:rsid w:val="00FB50B0"/>
    <w:rsid w:val="00FB59F5"/>
    <w:rsid w:val="00FB5E10"/>
    <w:rsid w:val="00FC1C74"/>
    <w:rsid w:val="00FC20BA"/>
    <w:rsid w:val="00FC265D"/>
    <w:rsid w:val="00FC70A5"/>
    <w:rsid w:val="00FC7832"/>
    <w:rsid w:val="00FC7E1D"/>
    <w:rsid w:val="00FD26E8"/>
    <w:rsid w:val="00FD7052"/>
    <w:rsid w:val="00FE072F"/>
    <w:rsid w:val="00FE0E90"/>
    <w:rsid w:val="00FF1A6E"/>
    <w:rsid w:val="00FF2707"/>
    <w:rsid w:val="00FF6455"/>
    <w:rsid w:val="00FF7344"/>
    <w:rsid w:val="031F0998"/>
    <w:rsid w:val="039372FE"/>
    <w:rsid w:val="04737273"/>
    <w:rsid w:val="06105626"/>
    <w:rsid w:val="07F74CCB"/>
    <w:rsid w:val="0E4804AC"/>
    <w:rsid w:val="13A15125"/>
    <w:rsid w:val="14ED2498"/>
    <w:rsid w:val="1BA11C89"/>
    <w:rsid w:val="1C90777B"/>
    <w:rsid w:val="23E16EFB"/>
    <w:rsid w:val="29266302"/>
    <w:rsid w:val="2C61713E"/>
    <w:rsid w:val="2C882973"/>
    <w:rsid w:val="30DC58AF"/>
    <w:rsid w:val="316B08DB"/>
    <w:rsid w:val="368A7454"/>
    <w:rsid w:val="388A4CD2"/>
    <w:rsid w:val="389C01D6"/>
    <w:rsid w:val="3BD0319C"/>
    <w:rsid w:val="3DE423A2"/>
    <w:rsid w:val="3F656FD8"/>
    <w:rsid w:val="40FC1315"/>
    <w:rsid w:val="43B35C4A"/>
    <w:rsid w:val="445955CF"/>
    <w:rsid w:val="48565599"/>
    <w:rsid w:val="4860756B"/>
    <w:rsid w:val="4C071A1D"/>
    <w:rsid w:val="4E874C86"/>
    <w:rsid w:val="53700709"/>
    <w:rsid w:val="568B6BE1"/>
    <w:rsid w:val="56BC7088"/>
    <w:rsid w:val="59AF7EDA"/>
    <w:rsid w:val="5B6A6E91"/>
    <w:rsid w:val="5DFE7D9D"/>
    <w:rsid w:val="5EC92BA9"/>
    <w:rsid w:val="5F1762E6"/>
    <w:rsid w:val="5F855856"/>
    <w:rsid w:val="63C969E7"/>
    <w:rsid w:val="64F67897"/>
    <w:rsid w:val="65E92A1E"/>
    <w:rsid w:val="67291CCB"/>
    <w:rsid w:val="67926407"/>
    <w:rsid w:val="69292727"/>
    <w:rsid w:val="6C7031E3"/>
    <w:rsid w:val="6CDF30F1"/>
    <w:rsid w:val="6E6722AD"/>
    <w:rsid w:val="70A03B31"/>
    <w:rsid w:val="71440C92"/>
    <w:rsid w:val="76FB173D"/>
    <w:rsid w:val="78BA4F4A"/>
    <w:rsid w:val="79E33910"/>
    <w:rsid w:val="7B1F4251"/>
    <w:rsid w:val="7B3116DD"/>
    <w:rsid w:val="7DDA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1"/>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2"/>
    <w:basedOn w:val="1"/>
    <w:next w:val="1"/>
    <w:link w:val="22"/>
    <w:unhideWhenUsed/>
    <w:qFormat/>
    <w:uiPriority w:val="9"/>
    <w:pPr>
      <w:keepNext/>
      <w:keepLines/>
      <w:widowControl w:val="0"/>
      <w:adjustRightInd/>
      <w:snapToGrid/>
      <w:spacing w:before="260" w:after="260" w:line="416" w:lineRule="auto"/>
      <w:jc w:val="both"/>
      <w:outlineLvl w:val="1"/>
    </w:pPr>
    <w:rPr>
      <w:rFonts w:asciiTheme="majorHAnsi" w:hAnsiTheme="majorHAnsi" w:eastAsiaTheme="majorEastAsia" w:cstheme="majorBidi"/>
      <w:b/>
      <w:bCs/>
      <w:kern w:val="2"/>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6"/>
    <w:semiHidden/>
    <w:unhideWhenUsed/>
    <w:qFormat/>
    <w:uiPriority w:val="99"/>
    <w:pPr>
      <w:spacing w:after="0"/>
    </w:pPr>
    <w:rPr>
      <w:sz w:val="18"/>
      <w:szCs w:val="18"/>
    </w:rPr>
  </w:style>
  <w:style w:type="paragraph" w:styleId="5">
    <w:name w:val="footer"/>
    <w:basedOn w:val="1"/>
    <w:link w:val="18"/>
    <w:unhideWhenUsed/>
    <w:qFormat/>
    <w:uiPriority w:val="99"/>
    <w:pPr>
      <w:tabs>
        <w:tab w:val="center" w:pos="4153"/>
        <w:tab w:val="right" w:pos="8306"/>
      </w:tabs>
    </w:pPr>
    <w:rPr>
      <w:sz w:val="18"/>
      <w:szCs w:val="18"/>
    </w:rPr>
  </w:style>
  <w:style w:type="paragraph" w:styleId="6">
    <w:name w:val="header"/>
    <w:basedOn w:val="1"/>
    <w:link w:val="17"/>
    <w:semiHidden/>
    <w:unhideWhenUsed/>
    <w:uiPriority w:val="99"/>
    <w:pPr>
      <w:pBdr>
        <w:bottom w:val="single" w:color="auto" w:sz="6" w:space="1"/>
      </w:pBdr>
      <w:tabs>
        <w:tab w:val="center" w:pos="4153"/>
        <w:tab w:val="right" w:pos="8306"/>
      </w:tabs>
      <w:jc w:val="center"/>
    </w:pPr>
    <w:rPr>
      <w:sz w:val="18"/>
      <w:szCs w:val="18"/>
    </w:rPr>
  </w:style>
  <w:style w:type="paragraph" w:styleId="7">
    <w:name w:val="toc 1"/>
    <w:basedOn w:val="1"/>
    <w:next w:val="1"/>
    <w:unhideWhenUsed/>
    <w:qFormat/>
    <w:uiPriority w:val="39"/>
    <w:pPr>
      <w:adjustRightInd/>
      <w:snapToGrid/>
      <w:spacing w:after="100" w:line="276" w:lineRule="auto"/>
    </w:pPr>
    <w:rPr>
      <w:rFonts w:asciiTheme="minorHAnsi" w:hAnsiTheme="minorHAnsi" w:eastAsiaTheme="minorEastAsia"/>
    </w:rPr>
  </w:style>
  <w:style w:type="paragraph" w:styleId="8">
    <w:name w:val="toc 2"/>
    <w:basedOn w:val="1"/>
    <w:next w:val="1"/>
    <w:unhideWhenUsed/>
    <w:qFormat/>
    <w:uiPriority w:val="39"/>
    <w:pPr>
      <w:adjustRightInd/>
      <w:snapToGrid/>
      <w:spacing w:after="100" w:line="276" w:lineRule="auto"/>
      <w:ind w:left="220"/>
    </w:pPr>
    <w:rPr>
      <w:rFonts w:asciiTheme="minorHAnsi" w:hAnsiTheme="minorHAnsi" w:eastAsiaTheme="minorEastAsia"/>
    </w:rPr>
  </w:style>
  <w:style w:type="paragraph" w:styleId="9">
    <w:name w:val="HTML Preformatted"/>
    <w:basedOn w:val="1"/>
    <w:link w:val="2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10">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2">
    <w:name w:val="Table Grid"/>
    <w:basedOn w:val="11"/>
    <w:qFormat/>
    <w:uiPriority w:val="0"/>
    <w:pPr>
      <w:spacing w:after="0" w:line="240" w:lineRule="auto"/>
    </w:pPr>
    <w:rPr>
      <w:rFonts w:ascii="Times New Roman" w:hAnsi="Times New Roman" w:eastAsia="宋体"/>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Emphasis"/>
    <w:basedOn w:val="13"/>
    <w:qFormat/>
    <w:uiPriority w:val="20"/>
    <w:rPr>
      <w:i/>
      <w:iCs/>
    </w:rPr>
  </w:style>
  <w:style w:type="character" w:styleId="16">
    <w:name w:val="Hyperlink"/>
    <w:basedOn w:val="13"/>
    <w:qFormat/>
    <w:uiPriority w:val="0"/>
    <w:rPr>
      <w:color w:val="0000FF"/>
      <w:u w:val="single"/>
    </w:rPr>
  </w:style>
  <w:style w:type="character" w:customStyle="1" w:styleId="17">
    <w:name w:val="页眉 Char"/>
    <w:basedOn w:val="13"/>
    <w:link w:val="6"/>
    <w:semiHidden/>
    <w:qFormat/>
    <w:uiPriority w:val="99"/>
    <w:rPr>
      <w:rFonts w:ascii="Tahoma" w:hAnsi="Tahoma"/>
      <w:sz w:val="18"/>
      <w:szCs w:val="18"/>
    </w:rPr>
  </w:style>
  <w:style w:type="character" w:customStyle="1" w:styleId="18">
    <w:name w:val="页脚 Char"/>
    <w:basedOn w:val="13"/>
    <w:link w:val="5"/>
    <w:qFormat/>
    <w:uiPriority w:val="99"/>
    <w:rPr>
      <w:rFonts w:ascii="Tahoma" w:hAnsi="Tahoma"/>
      <w:sz w:val="18"/>
      <w:szCs w:val="18"/>
    </w:rPr>
  </w:style>
  <w:style w:type="paragraph" w:customStyle="1" w:styleId="19">
    <w:name w:val="p0"/>
    <w:basedOn w:val="1"/>
    <w:qFormat/>
    <w:uiPriority w:val="0"/>
    <w:pPr>
      <w:adjustRightInd/>
      <w:snapToGrid/>
      <w:spacing w:before="100" w:beforeAutospacing="1" w:after="100" w:afterAutospacing="1" w:line="270" w:lineRule="atLeast"/>
    </w:pPr>
    <w:rPr>
      <w:rFonts w:ascii="宋体" w:hAnsi="宋体" w:eastAsia="宋体" w:cs="宋体"/>
      <w:color w:val="000000"/>
      <w:sz w:val="18"/>
      <w:szCs w:val="18"/>
    </w:rPr>
  </w:style>
  <w:style w:type="character" w:customStyle="1" w:styleId="20">
    <w:name w:val="apple-converted-space"/>
    <w:basedOn w:val="13"/>
    <w:qFormat/>
    <w:uiPriority w:val="0"/>
  </w:style>
  <w:style w:type="character" w:customStyle="1" w:styleId="21">
    <w:name w:val="标题 1 Char"/>
    <w:basedOn w:val="13"/>
    <w:link w:val="2"/>
    <w:qFormat/>
    <w:uiPriority w:val="9"/>
    <w:rPr>
      <w:rFonts w:ascii="宋体" w:hAnsi="宋体" w:eastAsia="宋体" w:cs="宋体"/>
      <w:b/>
      <w:bCs/>
      <w:kern w:val="36"/>
      <w:sz w:val="48"/>
      <w:szCs w:val="48"/>
    </w:rPr>
  </w:style>
  <w:style w:type="character" w:customStyle="1" w:styleId="22">
    <w:name w:val="标题 2 Char"/>
    <w:basedOn w:val="13"/>
    <w:link w:val="3"/>
    <w:qFormat/>
    <w:uiPriority w:val="9"/>
    <w:rPr>
      <w:rFonts w:asciiTheme="majorHAnsi" w:hAnsiTheme="majorHAnsi" w:eastAsiaTheme="majorEastAsia" w:cstheme="majorBidi"/>
      <w:b/>
      <w:bCs/>
      <w:kern w:val="2"/>
      <w:sz w:val="32"/>
      <w:szCs w:val="32"/>
    </w:rPr>
  </w:style>
  <w:style w:type="character" w:customStyle="1" w:styleId="23">
    <w:name w:val="HTML 预设格式 Char"/>
    <w:basedOn w:val="13"/>
    <w:link w:val="9"/>
    <w:qFormat/>
    <w:uiPriority w:val="0"/>
    <w:rPr>
      <w:rFonts w:ascii="宋体" w:hAnsi="宋体" w:eastAsia="宋体" w:cs="宋体"/>
      <w:sz w:val="24"/>
      <w:szCs w:val="24"/>
    </w:rPr>
  </w:style>
  <w:style w:type="paragraph" w:styleId="24">
    <w:name w:val="List Paragraph"/>
    <w:basedOn w:val="1"/>
    <w:qFormat/>
    <w:uiPriority w:val="34"/>
    <w:pPr>
      <w:ind w:firstLine="420" w:firstLineChars="200"/>
    </w:pPr>
  </w:style>
  <w:style w:type="paragraph" w:customStyle="1" w:styleId="25">
    <w:name w:val="TOC Heading"/>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66091" w:themeColor="accent1" w:themeShade="BF"/>
      <w:kern w:val="0"/>
      <w:sz w:val="28"/>
      <w:szCs w:val="28"/>
    </w:rPr>
  </w:style>
  <w:style w:type="character" w:customStyle="1" w:styleId="26">
    <w:name w:val="批注框文本 Char"/>
    <w:basedOn w:val="13"/>
    <w:link w:val="4"/>
    <w:semiHidden/>
    <w:qFormat/>
    <w:uiPriority w:val="99"/>
    <w:rPr>
      <w:rFonts w:ascii="Tahoma" w:hAnsi="Tahoma"/>
      <w:sz w:val="18"/>
      <w:szCs w:val="18"/>
    </w:rPr>
  </w:style>
  <w:style w:type="paragraph" w:customStyle="1" w:styleId="27">
    <w:name w:val="正文 New"/>
    <w:qFormat/>
    <w:uiPriority w:val="0"/>
    <w:pPr>
      <w:widowControl w:val="0"/>
      <w:spacing w:after="0" w:line="240" w:lineRule="auto"/>
      <w:jc w:val="both"/>
    </w:pPr>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7F406-ED33-433D-AC1D-8DEE1311F52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144</Pages>
  <Words>8632</Words>
  <Characters>49206</Characters>
  <Lines>410</Lines>
  <Paragraphs>115</Paragraphs>
  <TotalTime>162</TotalTime>
  <ScaleCrop>false</ScaleCrop>
  <LinksUpToDate>false</LinksUpToDate>
  <CharactersWithSpaces>57723</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2019-04-01T11:38:00Z</dcterms:created>
  <dc:creator>User</dc:creator>
  <cp:lastModifiedBy>admin</cp:lastModifiedBy>
  <cp:lastPrinted>2019-06-21T09:02:32Z</cp:lastPrinted>
  <dcterms:modified xsi:type="dcterms:W3CDTF">2019-06-21T09:09:48Z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