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763" w:rsidRDefault="0009462E">
      <w:pPr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《丰顺县中心城区紫琳学院、国际声谷片区控制性详细规划》主要内容</w:t>
      </w:r>
    </w:p>
    <w:p w:rsidR="00AB4763" w:rsidRDefault="0009462E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一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规划范围</w:t>
      </w:r>
    </w:p>
    <w:p w:rsidR="00AB4763" w:rsidRDefault="0009462E">
      <w:pPr>
        <w:pStyle w:val="-11"/>
        <w:ind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本规划范围位于丰顺县中心城区南部，东接丰顺县温泉城核心区东片区，本次控制性详细规划范围总用地面积</w:t>
      </w:r>
      <w:r>
        <w:rPr>
          <w:rFonts w:ascii="仿宋" w:eastAsia="仿宋" w:hAnsi="仿宋"/>
        </w:rPr>
        <w:t>312.13</w:t>
      </w:r>
      <w:r>
        <w:rPr>
          <w:rFonts w:ascii="仿宋" w:eastAsia="仿宋" w:hAnsi="仿宋" w:hint="eastAsia"/>
        </w:rPr>
        <w:t>公顷，具体范围是：东至梅汕高速，南至国道235，北至邓屋村、西至东方村北部。</w:t>
      </w:r>
    </w:p>
    <w:p w:rsidR="00AB4763" w:rsidRDefault="0009462E">
      <w:pPr>
        <w:pStyle w:val="-11"/>
        <w:spacing w:beforeLines="50" w:before="156" w:afterLines="50" w:after="156"/>
        <w:ind w:firstLineChars="0" w:firstLine="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drawing>
          <wp:inline distT="0" distB="0" distL="0" distR="0">
            <wp:extent cx="5254625" cy="3267075"/>
            <wp:effectExtent l="19050" t="19050" r="22225" b="285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1" t="12380" r="3780" b="6492"/>
                    <a:stretch>
                      <a:fillRect/>
                    </a:stretch>
                  </pic:blipFill>
                  <pic:spPr>
                    <a:xfrm>
                      <a:off x="0" y="0"/>
                      <a:ext cx="5268523" cy="327579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B4763" w:rsidRDefault="0009462E">
      <w:pPr>
        <w:spacing w:line="360" w:lineRule="auto"/>
        <w:ind w:firstLineChars="200" w:firstLine="5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图1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区位图</w:t>
      </w:r>
    </w:p>
    <w:p w:rsidR="00AB4763" w:rsidRDefault="0030142A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二</w:t>
      </w:r>
      <w:r w:rsidR="0009462E">
        <w:rPr>
          <w:rFonts w:hint="eastAsia"/>
          <w:sz w:val="30"/>
          <w:szCs w:val="30"/>
        </w:rPr>
        <w:t>、发展目标及功能定位</w:t>
      </w:r>
    </w:p>
    <w:p w:rsidR="00AB4763" w:rsidRDefault="0009462E">
      <w:pPr>
        <w:pStyle w:val="-11"/>
        <w:ind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依托优质的生态环境、便利的交通区位、重大项目的机遇，打造集电声智造、生产服务、科教文化、优质居住、生态休闲等多种功能于一体的宜居宜学宜业新区。</w:t>
      </w:r>
    </w:p>
    <w:p w:rsidR="00AB4763" w:rsidRDefault="0030142A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三</w:t>
      </w:r>
      <w:r w:rsidR="0009462E">
        <w:rPr>
          <w:rFonts w:hint="eastAsia"/>
          <w:sz w:val="30"/>
          <w:szCs w:val="30"/>
        </w:rPr>
        <w:t>、空间结构</w:t>
      </w:r>
    </w:p>
    <w:p w:rsidR="00AB4763" w:rsidRDefault="0009462E">
      <w:pPr>
        <w:pStyle w:val="-11"/>
        <w:ind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本片区</w:t>
      </w:r>
      <w:r>
        <w:rPr>
          <w:rFonts w:ascii="仿宋" w:eastAsia="仿宋" w:hAnsi="仿宋"/>
        </w:rPr>
        <w:t>的规划的空间结构为</w:t>
      </w:r>
      <w:r>
        <w:rPr>
          <w:rFonts w:ascii="仿宋" w:eastAsia="仿宋" w:hAnsi="仿宋" w:hint="eastAsia"/>
          <w:b/>
          <w:bCs/>
        </w:rPr>
        <w:t>“一廊双心两组团”</w:t>
      </w:r>
      <w:r>
        <w:rPr>
          <w:rFonts w:ascii="仿宋" w:eastAsia="仿宋" w:hAnsi="仿宋" w:hint="eastAsia"/>
        </w:rPr>
        <w:t>。</w:t>
      </w:r>
    </w:p>
    <w:p w:rsidR="00AB4763" w:rsidRDefault="0009462E">
      <w:pPr>
        <w:pStyle w:val="-11"/>
        <w:ind w:firstLine="482"/>
        <w:rPr>
          <w:rFonts w:ascii="仿宋" w:eastAsia="仿宋" w:hAnsi="仿宋"/>
        </w:rPr>
      </w:pPr>
      <w:r>
        <w:rPr>
          <w:rFonts w:ascii="仿宋" w:eastAsia="仿宋" w:hAnsi="仿宋" w:hint="eastAsia"/>
          <w:b/>
          <w:bCs/>
        </w:rPr>
        <w:t>一廊</w:t>
      </w:r>
      <w:r>
        <w:rPr>
          <w:rFonts w:ascii="仿宋" w:eastAsia="仿宋" w:hAnsi="仿宋" w:hint="eastAsia"/>
        </w:rPr>
        <w:t>：以八角塘以及南部梳理出的水系为依托，沿岸布局公园绿地，形成贯通整个规划区域的生态绿廊，有机串接规划区内两个功能组团，作为区域生态功能的依托；同时连贯的公园绿地布局也为市民提供了游憩空间，提升了整个汤南区域的生活品质；</w:t>
      </w:r>
    </w:p>
    <w:p w:rsidR="00AB4763" w:rsidRDefault="0009462E">
      <w:pPr>
        <w:pStyle w:val="-11"/>
        <w:ind w:firstLine="482"/>
        <w:rPr>
          <w:rFonts w:ascii="仿宋" w:eastAsia="仿宋" w:hAnsi="仿宋"/>
        </w:rPr>
      </w:pPr>
      <w:r>
        <w:rPr>
          <w:rFonts w:ascii="仿宋" w:eastAsia="仿宋" w:hAnsi="仿宋" w:hint="eastAsia"/>
          <w:b/>
          <w:bCs/>
        </w:rPr>
        <w:t>双心</w:t>
      </w:r>
      <w:r>
        <w:rPr>
          <w:rFonts w:ascii="仿宋" w:eastAsia="仿宋" w:hAnsi="仿宋" w:hint="eastAsia"/>
        </w:rPr>
        <w:t>：八角塘生态绿心以及商业活力中心。八角塘生态绿心，强调滨水空间的公共性，沿水岸控制10米公园绿地，形成连贯的滨水活力空间，为市民提供休闲场所。商业活力中心，结合国际声谷的打造，以小镇客厅的理念配套建设商业服务综合体，形成活跃的商业氛围。</w:t>
      </w:r>
    </w:p>
    <w:p w:rsidR="00AB4763" w:rsidRDefault="0009462E">
      <w:pPr>
        <w:pStyle w:val="-11"/>
        <w:ind w:firstLine="482"/>
        <w:rPr>
          <w:rFonts w:ascii="仿宋" w:eastAsia="仿宋" w:hAnsi="仿宋"/>
        </w:rPr>
      </w:pPr>
      <w:r>
        <w:rPr>
          <w:rFonts w:ascii="仿宋" w:eastAsia="仿宋" w:hAnsi="仿宋" w:hint="eastAsia"/>
          <w:b/>
          <w:bCs/>
        </w:rPr>
        <w:t>两组团</w:t>
      </w:r>
      <w:r>
        <w:rPr>
          <w:rFonts w:ascii="仿宋" w:eastAsia="仿宋" w:hAnsi="仿宋" w:hint="eastAsia"/>
        </w:rPr>
        <w:t>：北部的紫琳学院科教组团和南部的国际声谷科研服务组团。其中北部科教组团是以嘉应学院（紫琳学院）为核心的教育和科研组团；南部是以丰顺国际声谷小镇为核心的产城融合组团。</w:t>
      </w:r>
    </w:p>
    <w:p w:rsidR="00AB4763" w:rsidRDefault="0009462E">
      <w:pPr>
        <w:jc w:val="center"/>
      </w:pPr>
      <w:r>
        <w:rPr>
          <w:noProof/>
        </w:rPr>
        <w:drawing>
          <wp:inline distT="0" distB="0" distL="0" distR="0">
            <wp:extent cx="5228590" cy="3490595"/>
            <wp:effectExtent l="19050" t="19050" r="10160" b="146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52" t="11954" r="3326" b="6064"/>
                    <a:stretch>
                      <a:fillRect/>
                    </a:stretch>
                  </pic:blipFill>
                  <pic:spPr>
                    <a:xfrm>
                      <a:off x="0" y="0"/>
                      <a:ext cx="5237998" cy="349709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B4763" w:rsidRDefault="0009462E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图</w:t>
      </w:r>
      <w:r>
        <w:rPr>
          <w:rFonts w:ascii="仿宋" w:eastAsia="仿宋" w:hAnsi="仿宋"/>
          <w:sz w:val="28"/>
          <w:szCs w:val="28"/>
        </w:rPr>
        <w:t xml:space="preserve">2 </w:t>
      </w:r>
      <w:r>
        <w:rPr>
          <w:rFonts w:ascii="仿宋" w:eastAsia="仿宋" w:hAnsi="仿宋" w:hint="eastAsia"/>
          <w:sz w:val="28"/>
          <w:szCs w:val="28"/>
        </w:rPr>
        <w:t>空间结构图</w:t>
      </w:r>
    </w:p>
    <w:p w:rsidR="00AB4763" w:rsidRDefault="0030142A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四</w:t>
      </w:r>
      <w:r w:rsidR="0009462E">
        <w:rPr>
          <w:rFonts w:hint="eastAsia"/>
          <w:sz w:val="30"/>
          <w:szCs w:val="30"/>
        </w:rPr>
        <w:t>、人口规模与建设用</w:t>
      </w:r>
      <w:r>
        <w:rPr>
          <w:rFonts w:hint="eastAsia"/>
          <w:sz w:val="30"/>
          <w:szCs w:val="30"/>
        </w:rPr>
        <w:t>地</w:t>
      </w:r>
      <w:r w:rsidR="0009462E">
        <w:rPr>
          <w:rFonts w:hint="eastAsia"/>
          <w:sz w:val="30"/>
          <w:szCs w:val="30"/>
        </w:rPr>
        <w:t>规模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规划范围内总人口规模为居住人口规模加上紫琳学院师生人口规模，共计约3.5万人(居住人口2.2万，学校师生1.3万）。本规划中市政公用设施按照总人口规模进行配置，公共服务设施按照居住人口进行配置。</w:t>
      </w:r>
      <w:r w:rsidR="00B96C5E" w:rsidRPr="00B96C5E">
        <w:rPr>
          <w:rFonts w:ascii="仿宋" w:eastAsia="仿宋" w:hAnsi="仿宋" w:cs="Times New Roman" w:hint="eastAsia"/>
          <w:sz w:val="24"/>
          <w:szCs w:val="24"/>
        </w:rPr>
        <w:t>本规划确定规划区内建设用地规模为256.96 公顷</w:t>
      </w:r>
      <w:r w:rsidR="00B96C5E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AB4763" w:rsidRDefault="0030142A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五</w:t>
      </w:r>
      <w:r w:rsidR="0009462E">
        <w:rPr>
          <w:rFonts w:hint="eastAsia"/>
          <w:sz w:val="30"/>
          <w:szCs w:val="30"/>
        </w:rPr>
        <w:t>、土地利用规划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参照《城市用地分类与规划建设用地标准》（GB5037-2011）的相关规定执行，根据规划控制的实际要求，将用地分为六大类：居住用地、公共管理与公共服务用地、商业服务业设施用地、道路与交通设施用地、公用设施用地、绿地与广场用地，以中类为主、小类为辅。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规划总用地面积</w:t>
      </w:r>
      <w:r>
        <w:rPr>
          <w:rFonts w:ascii="仿宋" w:eastAsia="仿宋" w:hAnsi="仿宋" w:cs="Times New Roman"/>
          <w:sz w:val="24"/>
          <w:szCs w:val="24"/>
        </w:rPr>
        <w:t>312.13</w:t>
      </w:r>
      <w:r>
        <w:rPr>
          <w:rFonts w:ascii="仿宋" w:eastAsia="仿宋" w:hAnsi="仿宋" w:cs="Times New Roman" w:hint="eastAsia"/>
          <w:sz w:val="24"/>
          <w:szCs w:val="24"/>
        </w:rPr>
        <w:t>公顷，其中，建设用地</w:t>
      </w:r>
      <w:r>
        <w:rPr>
          <w:rFonts w:ascii="仿宋" w:eastAsia="仿宋" w:hAnsi="仿宋" w:cs="Times New Roman"/>
          <w:sz w:val="24"/>
          <w:szCs w:val="24"/>
        </w:rPr>
        <w:t>256.96</w:t>
      </w:r>
      <w:r>
        <w:rPr>
          <w:rFonts w:ascii="仿宋" w:eastAsia="仿宋" w:hAnsi="仿宋" w:cs="Times New Roman" w:hint="eastAsia"/>
          <w:sz w:val="24"/>
          <w:szCs w:val="24"/>
        </w:rPr>
        <w:t xml:space="preserve">公顷，城市建设用地 </w:t>
      </w:r>
      <w:r>
        <w:rPr>
          <w:rFonts w:ascii="仿宋" w:eastAsia="仿宋" w:hAnsi="仿宋" w:cs="Times New Roman"/>
          <w:sz w:val="24"/>
          <w:szCs w:val="24"/>
        </w:rPr>
        <w:t>241.98</w:t>
      </w:r>
      <w:r>
        <w:rPr>
          <w:rFonts w:ascii="仿宋" w:eastAsia="仿宋" w:hAnsi="仿宋" w:cs="Times New Roman" w:hint="eastAsia"/>
          <w:sz w:val="24"/>
          <w:szCs w:val="24"/>
        </w:rPr>
        <w:t>公顷，村庄建设用地</w:t>
      </w:r>
      <w:r>
        <w:rPr>
          <w:rFonts w:ascii="仿宋" w:eastAsia="仿宋" w:hAnsi="仿宋" w:cs="Times New Roman"/>
          <w:sz w:val="24"/>
          <w:szCs w:val="24"/>
        </w:rPr>
        <w:t>10.72</w:t>
      </w:r>
      <w:r>
        <w:rPr>
          <w:rFonts w:ascii="仿宋" w:eastAsia="仿宋" w:hAnsi="仿宋" w:cs="Times New Roman" w:hint="eastAsia"/>
          <w:sz w:val="24"/>
          <w:szCs w:val="24"/>
        </w:rPr>
        <w:t>公顷，区域交通设施用地</w:t>
      </w:r>
      <w:r>
        <w:rPr>
          <w:rFonts w:ascii="仿宋" w:eastAsia="仿宋" w:hAnsi="仿宋" w:cs="Times New Roman"/>
          <w:sz w:val="24"/>
          <w:szCs w:val="24"/>
        </w:rPr>
        <w:t>4.26</w:t>
      </w:r>
      <w:r>
        <w:rPr>
          <w:rFonts w:ascii="仿宋" w:eastAsia="仿宋" w:hAnsi="仿宋" w:cs="Times New Roman" w:hint="eastAsia"/>
          <w:sz w:val="24"/>
          <w:szCs w:val="24"/>
        </w:rPr>
        <w:t>公顷；非建设用地</w:t>
      </w:r>
      <w:r>
        <w:rPr>
          <w:rFonts w:ascii="仿宋" w:eastAsia="仿宋" w:hAnsi="仿宋" w:cs="Times New Roman"/>
          <w:sz w:val="24"/>
          <w:szCs w:val="24"/>
        </w:rPr>
        <w:t>55.17</w:t>
      </w:r>
      <w:r>
        <w:rPr>
          <w:rFonts w:ascii="仿宋" w:eastAsia="仿宋" w:hAnsi="仿宋" w:cs="Times New Roman" w:hint="eastAsia"/>
          <w:sz w:val="24"/>
          <w:szCs w:val="24"/>
        </w:rPr>
        <w:t>公顷。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城市建设用地中，居住用地面积</w:t>
      </w:r>
      <w:r>
        <w:rPr>
          <w:rFonts w:ascii="仿宋" w:eastAsia="仿宋" w:hAnsi="仿宋" w:cs="Times New Roman"/>
          <w:sz w:val="24"/>
          <w:szCs w:val="24"/>
        </w:rPr>
        <w:t>42.82</w:t>
      </w:r>
      <w:r>
        <w:rPr>
          <w:rFonts w:ascii="仿宋" w:eastAsia="仿宋" w:hAnsi="仿宋" w:cs="Times New Roman" w:hint="eastAsia"/>
          <w:sz w:val="24"/>
          <w:szCs w:val="24"/>
        </w:rPr>
        <w:t xml:space="preserve">公顷，公共管理与公共设施用地面积 </w:t>
      </w:r>
      <w:r>
        <w:rPr>
          <w:rFonts w:ascii="仿宋" w:eastAsia="仿宋" w:hAnsi="仿宋" w:cs="Times New Roman"/>
          <w:sz w:val="24"/>
          <w:szCs w:val="24"/>
        </w:rPr>
        <w:t>123.55</w:t>
      </w:r>
      <w:r>
        <w:rPr>
          <w:rFonts w:ascii="仿宋" w:eastAsia="仿宋" w:hAnsi="仿宋" w:cs="Times New Roman" w:hint="eastAsia"/>
          <w:sz w:val="24"/>
          <w:szCs w:val="24"/>
        </w:rPr>
        <w:t>公顷，商业服务业设施用地面积</w:t>
      </w:r>
      <w:r>
        <w:rPr>
          <w:rFonts w:ascii="仿宋" w:eastAsia="仿宋" w:hAnsi="仿宋" w:cs="Times New Roman"/>
          <w:sz w:val="24"/>
          <w:szCs w:val="24"/>
        </w:rPr>
        <w:t>12.90</w:t>
      </w:r>
      <w:r>
        <w:rPr>
          <w:rFonts w:ascii="仿宋" w:eastAsia="仿宋" w:hAnsi="仿宋" w:cs="Times New Roman" w:hint="eastAsia"/>
          <w:sz w:val="24"/>
          <w:szCs w:val="24"/>
        </w:rPr>
        <w:t>公顷，道路与交通设施用地面积</w:t>
      </w:r>
      <w:r>
        <w:rPr>
          <w:rFonts w:ascii="仿宋" w:eastAsia="仿宋" w:hAnsi="仿宋" w:cs="Times New Roman"/>
          <w:sz w:val="24"/>
          <w:szCs w:val="24"/>
        </w:rPr>
        <w:t>29.56</w:t>
      </w:r>
      <w:r>
        <w:rPr>
          <w:rFonts w:ascii="仿宋" w:eastAsia="仿宋" w:hAnsi="仿宋" w:cs="Times New Roman" w:hint="eastAsia"/>
          <w:sz w:val="24"/>
          <w:szCs w:val="24"/>
        </w:rPr>
        <w:t>公顷，公用设施用地面积</w:t>
      </w:r>
      <w:r>
        <w:rPr>
          <w:rFonts w:ascii="仿宋" w:eastAsia="仿宋" w:hAnsi="仿宋" w:cs="Times New Roman"/>
          <w:sz w:val="24"/>
          <w:szCs w:val="24"/>
        </w:rPr>
        <w:t>2.35</w:t>
      </w:r>
      <w:r>
        <w:rPr>
          <w:rFonts w:ascii="仿宋" w:eastAsia="仿宋" w:hAnsi="仿宋" w:cs="Times New Roman" w:hint="eastAsia"/>
          <w:sz w:val="24"/>
          <w:szCs w:val="24"/>
        </w:rPr>
        <w:t>公顷，绿地与广场用地面积约</w:t>
      </w:r>
      <w:r>
        <w:rPr>
          <w:rFonts w:ascii="仿宋" w:eastAsia="仿宋" w:hAnsi="仿宋" w:cs="Times New Roman"/>
          <w:sz w:val="24"/>
          <w:szCs w:val="24"/>
        </w:rPr>
        <w:t>30.80</w:t>
      </w:r>
      <w:r>
        <w:rPr>
          <w:rFonts w:ascii="仿宋" w:eastAsia="仿宋" w:hAnsi="仿宋" w:cs="Times New Roman" w:hint="eastAsia"/>
          <w:sz w:val="24"/>
          <w:szCs w:val="24"/>
        </w:rPr>
        <w:t>公顷。</w:t>
      </w:r>
    </w:p>
    <w:p w:rsidR="00AB4763" w:rsidRDefault="0030142A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本次</w:t>
      </w:r>
      <w:r w:rsidR="0009462E">
        <w:rPr>
          <w:rFonts w:ascii="仿宋" w:eastAsia="仿宋" w:hAnsi="仿宋" w:cs="Times New Roman" w:hint="eastAsia"/>
          <w:sz w:val="24"/>
          <w:szCs w:val="24"/>
        </w:rPr>
        <w:t>规划采用三级图则控制体系，分别为片区总图则、管理单元图则、地块图则。控制内容主要包括：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（一）强制性控制内容：土地使用性质、建筑密度、建筑限高、容积率、绿地率、配套设施（公共服务设施、交通设施、市政公用设施）。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（二）除以上内容外，其余为指导性内容，是参照执行的指标。主要包括建筑形式、建筑色彩等。</w:t>
      </w:r>
    </w:p>
    <w:p w:rsidR="00AB4763" w:rsidRDefault="0009462E">
      <w:pPr>
        <w:spacing w:line="360" w:lineRule="auto"/>
        <w:jc w:val="center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noProof/>
          <w:sz w:val="24"/>
          <w:szCs w:val="24"/>
        </w:rPr>
        <w:lastRenderedPageBreak/>
        <w:drawing>
          <wp:inline distT="0" distB="0" distL="0" distR="0">
            <wp:extent cx="5259070" cy="3515360"/>
            <wp:effectExtent l="19050" t="19050" r="17780" b="279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8" t="11587" r="2762" b="5730"/>
                    <a:stretch>
                      <a:fillRect/>
                    </a:stretch>
                  </pic:blipFill>
                  <pic:spPr>
                    <a:xfrm>
                      <a:off x="0" y="0"/>
                      <a:ext cx="5284331" cy="3532237"/>
                    </a:xfrm>
                    <a:prstGeom prst="rect">
                      <a:avLst/>
                    </a:prstGeom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:rsidR="00AB4763" w:rsidRDefault="0009462E">
      <w:pPr>
        <w:spacing w:line="360" w:lineRule="auto"/>
        <w:ind w:firstLineChars="200" w:firstLine="5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图</w:t>
      </w:r>
      <w:r>
        <w:rPr>
          <w:rFonts w:ascii="仿宋" w:eastAsia="仿宋" w:hAnsi="仿宋"/>
          <w:sz w:val="28"/>
          <w:szCs w:val="28"/>
        </w:rPr>
        <w:t xml:space="preserve">3 </w:t>
      </w:r>
      <w:r>
        <w:rPr>
          <w:rFonts w:ascii="仿宋" w:eastAsia="仿宋" w:hAnsi="仿宋" w:hint="eastAsia"/>
          <w:sz w:val="28"/>
          <w:szCs w:val="28"/>
        </w:rPr>
        <w:t>土地利用规划图</w:t>
      </w:r>
    </w:p>
    <w:p w:rsidR="00AB4763" w:rsidRDefault="0030142A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六</w:t>
      </w:r>
      <w:r w:rsidR="0009462E">
        <w:rPr>
          <w:rFonts w:hint="eastAsia"/>
          <w:sz w:val="30"/>
          <w:szCs w:val="30"/>
        </w:rPr>
        <w:t>、道路交通规划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构筑结构合理、功能清晰、通畅顺达的城市道路系统，促进综合交通枢纽建设，加速发展城市公共交通系统，并构建安全舒适的慢行系统，构建具有强大对外辐射能力和对内服务能力的高效、绿色、智能的现代化综合交通体系。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规划区对</w:t>
      </w:r>
      <w:r>
        <w:rPr>
          <w:rFonts w:ascii="仿宋" w:eastAsia="仿宋" w:hAnsi="仿宋" w:cs="Times New Roman"/>
          <w:sz w:val="24"/>
          <w:szCs w:val="24"/>
        </w:rPr>
        <w:t>外交通主要包括</w:t>
      </w:r>
      <w:r>
        <w:rPr>
          <w:rFonts w:ascii="仿宋" w:eastAsia="仿宋" w:hAnsi="仿宋" w:cs="Times New Roman" w:hint="eastAsia"/>
          <w:sz w:val="24"/>
          <w:szCs w:val="24"/>
        </w:rPr>
        <w:t>梅汕</w:t>
      </w:r>
      <w:r>
        <w:rPr>
          <w:rFonts w:ascii="仿宋" w:eastAsia="仿宋" w:hAnsi="仿宋" w:cs="Times New Roman"/>
          <w:sz w:val="24"/>
          <w:szCs w:val="24"/>
        </w:rPr>
        <w:t>高速和</w:t>
      </w:r>
      <w:r>
        <w:rPr>
          <w:rFonts w:ascii="仿宋" w:eastAsia="仿宋" w:hAnsi="仿宋" w:cs="Times New Roman" w:hint="eastAsia"/>
          <w:sz w:val="24"/>
          <w:szCs w:val="24"/>
        </w:rPr>
        <w:t>国道2</w:t>
      </w:r>
      <w:r>
        <w:rPr>
          <w:rFonts w:ascii="仿宋" w:eastAsia="仿宋" w:hAnsi="仿宋" w:cs="Times New Roman"/>
          <w:sz w:val="24"/>
          <w:szCs w:val="24"/>
        </w:rPr>
        <w:t>35</w:t>
      </w:r>
      <w:r>
        <w:rPr>
          <w:rFonts w:ascii="仿宋" w:eastAsia="仿宋" w:hAnsi="仿宋" w:cs="Times New Roman" w:hint="eastAsia"/>
          <w:sz w:val="24"/>
          <w:szCs w:val="24"/>
        </w:rPr>
        <w:t>。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梅汕高速公路：南北向从规划区东部穿过，在</w:t>
      </w:r>
      <w:r>
        <w:rPr>
          <w:rFonts w:ascii="仿宋" w:eastAsia="仿宋" w:hAnsi="仿宋" w:cs="Times New Roman"/>
          <w:sz w:val="24"/>
          <w:szCs w:val="24"/>
        </w:rPr>
        <w:t>规划区北部设有</w:t>
      </w:r>
      <w:r>
        <w:rPr>
          <w:rFonts w:ascii="仿宋" w:eastAsia="仿宋" w:hAnsi="仿宋" w:cs="Times New Roman" w:hint="eastAsia"/>
          <w:sz w:val="24"/>
          <w:szCs w:val="24"/>
        </w:rPr>
        <w:t>丰顺互通立交出入口，通过国道2</w:t>
      </w:r>
      <w:r>
        <w:rPr>
          <w:rFonts w:ascii="仿宋" w:eastAsia="仿宋" w:hAnsi="仿宋" w:cs="Times New Roman"/>
          <w:sz w:val="24"/>
          <w:szCs w:val="24"/>
        </w:rPr>
        <w:t>35</w:t>
      </w:r>
      <w:r>
        <w:rPr>
          <w:rFonts w:ascii="仿宋" w:eastAsia="仿宋" w:hAnsi="仿宋" w:cs="Times New Roman" w:hint="eastAsia"/>
          <w:sz w:val="24"/>
          <w:szCs w:val="24"/>
        </w:rPr>
        <w:t>与规划</w:t>
      </w:r>
      <w:r>
        <w:rPr>
          <w:rFonts w:ascii="仿宋" w:eastAsia="仿宋" w:hAnsi="仿宋" w:cs="Times New Roman"/>
          <w:sz w:val="24"/>
          <w:szCs w:val="24"/>
        </w:rPr>
        <w:t>区相连。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国道2</w:t>
      </w:r>
      <w:r>
        <w:rPr>
          <w:rFonts w:ascii="仿宋" w:eastAsia="仿宋" w:hAnsi="仿宋" w:cs="Times New Roman"/>
          <w:sz w:val="24"/>
          <w:szCs w:val="24"/>
        </w:rPr>
        <w:t>35</w:t>
      </w:r>
      <w:r>
        <w:rPr>
          <w:rFonts w:ascii="仿宋" w:eastAsia="仿宋" w:hAnsi="仿宋" w:cs="Times New Roman" w:hint="eastAsia"/>
          <w:sz w:val="24"/>
          <w:szCs w:val="24"/>
        </w:rPr>
        <w:t>：为规划</w:t>
      </w:r>
      <w:r>
        <w:rPr>
          <w:rFonts w:ascii="仿宋" w:eastAsia="仿宋" w:hAnsi="仿宋" w:cs="Times New Roman"/>
          <w:sz w:val="24"/>
          <w:szCs w:val="24"/>
        </w:rPr>
        <w:t>区南部</w:t>
      </w:r>
      <w:r>
        <w:rPr>
          <w:rFonts w:ascii="仿宋" w:eastAsia="仿宋" w:hAnsi="仿宋" w:cs="Times New Roman" w:hint="eastAsia"/>
          <w:sz w:val="24"/>
          <w:szCs w:val="24"/>
        </w:rPr>
        <w:t>边界，向北</w:t>
      </w:r>
      <w:r>
        <w:rPr>
          <w:rFonts w:ascii="仿宋" w:eastAsia="仿宋" w:hAnsi="仿宋" w:cs="Times New Roman"/>
          <w:sz w:val="24"/>
          <w:szCs w:val="24"/>
        </w:rPr>
        <w:t>接国道</w:t>
      </w:r>
      <w:r>
        <w:rPr>
          <w:rFonts w:ascii="仿宋" w:eastAsia="仿宋" w:hAnsi="仿宋" w:cs="Times New Roman" w:hint="eastAsia"/>
          <w:sz w:val="24"/>
          <w:szCs w:val="24"/>
        </w:rPr>
        <w:t>206，向南接</w:t>
      </w:r>
      <w:r>
        <w:rPr>
          <w:rFonts w:ascii="仿宋" w:eastAsia="仿宋" w:hAnsi="仿宋" w:cs="Times New Roman"/>
          <w:sz w:val="24"/>
          <w:szCs w:val="24"/>
        </w:rPr>
        <w:t>省道</w:t>
      </w:r>
      <w:r>
        <w:rPr>
          <w:rFonts w:ascii="仿宋" w:eastAsia="仿宋" w:hAnsi="仿宋" w:cs="Times New Roman" w:hint="eastAsia"/>
          <w:sz w:val="24"/>
          <w:szCs w:val="24"/>
        </w:rPr>
        <w:t>335。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城市道路方面，结合自然山水格局和城市建设用地布局，构建“自由方格网式”的城市道路网络，形成主干道、次干道、支路三级路网系统。道路网密度为4.79千米/平方公里。</w:t>
      </w:r>
    </w:p>
    <w:p w:rsidR="00AB4763" w:rsidRDefault="0009462E">
      <w:pPr>
        <w:spacing w:line="360" w:lineRule="auto"/>
        <w:jc w:val="center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noProof/>
          <w:sz w:val="24"/>
          <w:szCs w:val="24"/>
        </w:rPr>
        <w:lastRenderedPageBreak/>
        <w:drawing>
          <wp:inline distT="0" distB="0" distL="0" distR="0">
            <wp:extent cx="5265420" cy="3368040"/>
            <wp:effectExtent l="19050" t="19050" r="11430" b="228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0" t="11527" r="4531" b="5417"/>
                    <a:stretch>
                      <a:fillRect/>
                    </a:stretch>
                  </pic:blipFill>
                  <pic:spPr>
                    <a:xfrm>
                      <a:off x="0" y="0"/>
                      <a:ext cx="5271197" cy="337186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B4763" w:rsidRDefault="0009462E">
      <w:pPr>
        <w:spacing w:line="360" w:lineRule="auto"/>
        <w:ind w:firstLineChars="200" w:firstLine="5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图</w:t>
      </w:r>
      <w:r>
        <w:rPr>
          <w:rFonts w:ascii="仿宋" w:eastAsia="仿宋" w:hAnsi="仿宋"/>
          <w:sz w:val="28"/>
          <w:szCs w:val="28"/>
        </w:rPr>
        <w:t xml:space="preserve">4 </w:t>
      </w:r>
      <w:r>
        <w:rPr>
          <w:rFonts w:ascii="仿宋" w:eastAsia="仿宋" w:hAnsi="仿宋" w:hint="eastAsia"/>
          <w:sz w:val="28"/>
          <w:szCs w:val="28"/>
        </w:rPr>
        <w:t>道路交通规划图</w:t>
      </w:r>
    </w:p>
    <w:p w:rsidR="00AB4763" w:rsidRDefault="0030142A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七</w:t>
      </w:r>
      <w:r w:rsidR="0009462E">
        <w:rPr>
          <w:rFonts w:hint="eastAsia"/>
          <w:sz w:val="30"/>
          <w:szCs w:val="30"/>
        </w:rPr>
        <w:t>、公共服务设施规划</w:t>
      </w:r>
    </w:p>
    <w:p w:rsidR="004F01DE" w:rsidRDefault="004F01D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4F01DE">
        <w:rPr>
          <w:rFonts w:ascii="仿宋" w:eastAsia="仿宋" w:hAnsi="仿宋" w:cs="Times New Roman" w:hint="eastAsia"/>
          <w:sz w:val="24"/>
          <w:szCs w:val="24"/>
        </w:rPr>
        <w:t>围绕教育科创城的总体目标，以社区生活圈为单元，构建体系完善、布局合理、设施齐全的公共服务体系，提升片区的服务水平。</w:t>
      </w:r>
    </w:p>
    <w:p w:rsidR="004F01DE" w:rsidRDefault="004F01D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4F01DE">
        <w:rPr>
          <w:rFonts w:ascii="仿宋" w:eastAsia="仿宋" w:hAnsi="仿宋" w:cs="Times New Roman" w:hint="eastAsia"/>
          <w:sz w:val="24"/>
          <w:szCs w:val="24"/>
        </w:rPr>
        <w:t>规划</w:t>
      </w:r>
      <w:r>
        <w:rPr>
          <w:rFonts w:ascii="仿宋" w:eastAsia="仿宋" w:hAnsi="仿宋" w:cs="Times New Roman" w:hint="eastAsia"/>
          <w:sz w:val="24"/>
          <w:szCs w:val="24"/>
        </w:rPr>
        <w:t>紫琳学院</w:t>
      </w:r>
      <w:r w:rsidRPr="004F01DE">
        <w:rPr>
          <w:rFonts w:ascii="仿宋" w:eastAsia="仿宋" w:hAnsi="仿宋" w:cs="Times New Roman" w:hint="eastAsia"/>
          <w:sz w:val="24"/>
          <w:szCs w:val="24"/>
        </w:rPr>
        <w:t>面积为</w:t>
      </w:r>
      <w:r>
        <w:rPr>
          <w:rFonts w:ascii="仿宋" w:eastAsia="仿宋" w:hAnsi="仿宋" w:cs="Times New Roman" w:hint="eastAsia"/>
          <w:sz w:val="24"/>
          <w:szCs w:val="24"/>
        </w:rPr>
        <w:t>55.05</w:t>
      </w:r>
      <w:r w:rsidRPr="004F01DE">
        <w:rPr>
          <w:rFonts w:ascii="仿宋" w:eastAsia="仿宋" w:hAnsi="仿宋" w:cs="Times New Roman" w:hint="eastAsia"/>
          <w:sz w:val="24"/>
          <w:szCs w:val="24"/>
        </w:rPr>
        <w:t>公顷</w:t>
      </w:r>
      <w:r>
        <w:rPr>
          <w:rFonts w:ascii="仿宋" w:eastAsia="仿宋" w:hAnsi="仿宋" w:cs="Times New Roman" w:hint="eastAsia"/>
          <w:sz w:val="24"/>
          <w:szCs w:val="24"/>
        </w:rPr>
        <w:t>；</w:t>
      </w:r>
      <w:r w:rsidRPr="004F01DE">
        <w:rPr>
          <w:rFonts w:ascii="仿宋" w:eastAsia="仿宋" w:hAnsi="仿宋" w:cs="Times New Roman" w:hint="eastAsia"/>
          <w:sz w:val="24"/>
          <w:szCs w:val="24"/>
        </w:rPr>
        <w:t>规划十二年一贯制学校一座，为紫琳中小学，为小学、初中、高中一体的学校，面积为9.21 公顷</w:t>
      </w:r>
      <w:r>
        <w:rPr>
          <w:rFonts w:ascii="仿宋" w:eastAsia="仿宋" w:hAnsi="仿宋" w:cs="Times New Roman" w:hint="eastAsia"/>
          <w:sz w:val="24"/>
          <w:szCs w:val="24"/>
        </w:rPr>
        <w:t>；</w:t>
      </w:r>
      <w:r w:rsidRPr="004F01DE">
        <w:rPr>
          <w:rFonts w:ascii="仿宋" w:eastAsia="仿宋" w:hAnsi="仿宋" w:cs="Times New Roman" w:hint="eastAsia"/>
          <w:sz w:val="24"/>
          <w:szCs w:val="24"/>
        </w:rPr>
        <w:t>规划体育用地面积3.84公顷</w:t>
      </w:r>
      <w:r>
        <w:rPr>
          <w:rFonts w:ascii="仿宋" w:eastAsia="仿宋" w:hAnsi="仿宋" w:cs="Times New Roman" w:hint="eastAsia"/>
          <w:sz w:val="24"/>
          <w:szCs w:val="24"/>
        </w:rPr>
        <w:t>。</w:t>
      </w:r>
    </w:p>
    <w:p w:rsidR="00AB4763" w:rsidRDefault="0009462E" w:rsidP="004F01D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按照《城市居住区规划设计标准》（GB 50180-2018）中关于五分钟生活圈的要求，</w:t>
      </w:r>
      <w:r w:rsidR="004F01DE">
        <w:rPr>
          <w:rFonts w:ascii="仿宋" w:eastAsia="仿宋" w:hAnsi="仿宋" w:cs="Times New Roman" w:hint="eastAsia"/>
          <w:sz w:val="24"/>
          <w:szCs w:val="24"/>
        </w:rPr>
        <w:t>规划区</w:t>
      </w:r>
      <w:r w:rsidR="004F01DE">
        <w:rPr>
          <w:rFonts w:ascii="仿宋" w:eastAsia="仿宋" w:hAnsi="仿宋" w:cs="Times New Roman"/>
          <w:sz w:val="24"/>
          <w:szCs w:val="24"/>
        </w:rPr>
        <w:t>内共形成2</w:t>
      </w:r>
      <w:r w:rsidR="004F01DE">
        <w:rPr>
          <w:rFonts w:ascii="仿宋" w:eastAsia="仿宋" w:hAnsi="仿宋" w:cs="Times New Roman" w:hint="eastAsia"/>
          <w:sz w:val="24"/>
          <w:szCs w:val="24"/>
        </w:rPr>
        <w:t>个</w:t>
      </w:r>
      <w:r w:rsidR="004F01DE">
        <w:rPr>
          <w:rFonts w:ascii="仿宋" w:eastAsia="仿宋" w:hAnsi="仿宋" w:cs="Times New Roman"/>
          <w:sz w:val="24"/>
          <w:szCs w:val="24"/>
        </w:rPr>
        <w:t>五分钟生活圈，</w:t>
      </w:r>
      <w:r w:rsidR="004F01DE">
        <w:rPr>
          <w:rFonts w:ascii="仿宋" w:eastAsia="仿宋" w:hAnsi="仿宋" w:cs="Times New Roman" w:hint="eastAsia"/>
          <w:sz w:val="24"/>
          <w:szCs w:val="24"/>
        </w:rPr>
        <w:t>布局</w:t>
      </w:r>
      <w:r>
        <w:rPr>
          <w:rFonts w:ascii="仿宋" w:eastAsia="仿宋" w:hAnsi="仿宋" w:cs="Times New Roman" w:hint="eastAsia"/>
          <w:sz w:val="24"/>
          <w:szCs w:val="24"/>
        </w:rPr>
        <w:t>幼儿园、社区卫生站、社区服务站</w:t>
      </w:r>
      <w:bookmarkStart w:id="0" w:name="_Hlk24881206"/>
      <w:r w:rsidR="004F01DE">
        <w:rPr>
          <w:rFonts w:ascii="仿宋" w:eastAsia="仿宋" w:hAnsi="仿宋" w:cs="Times New Roman" w:hint="eastAsia"/>
          <w:sz w:val="24"/>
          <w:szCs w:val="24"/>
        </w:rPr>
        <w:t>、文化室、居民健身场所、社区居委会、托老所等社区级公共服务设施，</w:t>
      </w:r>
      <w:r>
        <w:rPr>
          <w:rFonts w:ascii="仿宋" w:eastAsia="仿宋" w:hAnsi="仿宋" w:cs="Times New Roman"/>
          <w:sz w:val="24"/>
          <w:szCs w:val="24"/>
        </w:rPr>
        <w:t>在住区建设中统筹建设</w:t>
      </w:r>
      <w:bookmarkEnd w:id="0"/>
      <w:r>
        <w:rPr>
          <w:rFonts w:ascii="仿宋" w:eastAsia="仿宋" w:hAnsi="仿宋" w:cs="Times New Roman" w:hint="eastAsia"/>
          <w:sz w:val="24"/>
          <w:szCs w:val="24"/>
        </w:rPr>
        <w:t>。</w:t>
      </w:r>
    </w:p>
    <w:p w:rsidR="00AB4763" w:rsidRDefault="0009462E">
      <w:pPr>
        <w:spacing w:line="360" w:lineRule="auto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noProof/>
          <w:sz w:val="24"/>
          <w:szCs w:val="24"/>
        </w:rPr>
        <w:lastRenderedPageBreak/>
        <w:drawing>
          <wp:inline distT="0" distB="0" distL="0" distR="0">
            <wp:extent cx="5260340" cy="3467100"/>
            <wp:effectExtent l="19050" t="19050" r="16510" b="190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46" t="11527" r="2722" b="5843"/>
                    <a:stretch>
                      <a:fillRect/>
                    </a:stretch>
                  </pic:blipFill>
                  <pic:spPr>
                    <a:xfrm>
                      <a:off x="0" y="0"/>
                      <a:ext cx="5272633" cy="347551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B4763" w:rsidRDefault="0009462E">
      <w:pPr>
        <w:spacing w:line="360" w:lineRule="auto"/>
        <w:ind w:firstLineChars="200" w:firstLine="5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图</w:t>
      </w:r>
      <w:r>
        <w:rPr>
          <w:rFonts w:ascii="仿宋" w:eastAsia="仿宋" w:hAnsi="仿宋"/>
          <w:sz w:val="28"/>
          <w:szCs w:val="28"/>
        </w:rPr>
        <w:t xml:space="preserve">5 </w:t>
      </w:r>
      <w:r>
        <w:rPr>
          <w:rFonts w:ascii="仿宋" w:eastAsia="仿宋" w:hAnsi="仿宋" w:hint="eastAsia"/>
          <w:sz w:val="28"/>
          <w:szCs w:val="28"/>
        </w:rPr>
        <w:t>公共服务设施规划图</w:t>
      </w:r>
    </w:p>
    <w:p w:rsidR="00AB4763" w:rsidRDefault="0030142A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八</w:t>
      </w:r>
      <w:r w:rsidR="0009462E">
        <w:rPr>
          <w:rFonts w:hint="eastAsia"/>
          <w:sz w:val="30"/>
          <w:szCs w:val="30"/>
        </w:rPr>
        <w:t>、绿地系统规划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规划依托八角塘水库生态资源和自然山体环境，合理组织环水库绿地、山体公园等公共空间的建设。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规划区内绿地与广场用地总面积为</w:t>
      </w:r>
      <w:r>
        <w:rPr>
          <w:rFonts w:ascii="仿宋" w:eastAsia="仿宋" w:hAnsi="仿宋" w:cs="Times New Roman"/>
          <w:sz w:val="24"/>
          <w:szCs w:val="24"/>
        </w:rPr>
        <w:t>30.80</w:t>
      </w:r>
      <w:r>
        <w:rPr>
          <w:rFonts w:ascii="仿宋" w:eastAsia="仿宋" w:hAnsi="仿宋" w:cs="Times New Roman" w:hint="eastAsia"/>
          <w:sz w:val="24"/>
          <w:szCs w:val="24"/>
        </w:rPr>
        <w:t>公顷，占城市建设用地</w:t>
      </w:r>
      <w:r>
        <w:rPr>
          <w:rFonts w:ascii="仿宋" w:eastAsia="仿宋" w:hAnsi="仿宋" w:cs="Times New Roman"/>
          <w:sz w:val="24"/>
          <w:szCs w:val="24"/>
        </w:rPr>
        <w:t>12.73</w:t>
      </w:r>
      <w:r>
        <w:rPr>
          <w:rFonts w:ascii="仿宋" w:eastAsia="仿宋" w:hAnsi="仿宋" w:cs="Times New Roman" w:hint="eastAsia"/>
          <w:sz w:val="24"/>
          <w:szCs w:val="24"/>
        </w:rPr>
        <w:t>%。其中，公园绿地主要分布于八角塘水库及城市道路沿线设置的带状公园，占地面积</w:t>
      </w:r>
      <w:r>
        <w:rPr>
          <w:rFonts w:ascii="仿宋" w:eastAsia="仿宋" w:hAnsi="仿宋" w:cs="Times New Roman"/>
          <w:sz w:val="24"/>
          <w:szCs w:val="24"/>
        </w:rPr>
        <w:t>21.45</w:t>
      </w:r>
      <w:r>
        <w:rPr>
          <w:rFonts w:ascii="仿宋" w:eastAsia="仿宋" w:hAnsi="仿宋" w:cs="Times New Roman" w:hint="eastAsia"/>
          <w:sz w:val="24"/>
          <w:szCs w:val="24"/>
        </w:rPr>
        <w:t xml:space="preserve">公顷，防护绿地主要分布于梅汕高速公路两侧的防护绿地，占地面积 </w:t>
      </w:r>
      <w:r>
        <w:rPr>
          <w:rFonts w:ascii="仿宋" w:eastAsia="仿宋" w:hAnsi="仿宋" w:cs="Times New Roman"/>
          <w:sz w:val="24"/>
          <w:szCs w:val="24"/>
        </w:rPr>
        <w:t>9.35</w:t>
      </w:r>
      <w:r>
        <w:rPr>
          <w:rFonts w:ascii="仿宋" w:eastAsia="仿宋" w:hAnsi="仿宋" w:cs="Times New Roman" w:hint="eastAsia"/>
          <w:sz w:val="24"/>
          <w:szCs w:val="24"/>
        </w:rPr>
        <w:t>公顷。</w:t>
      </w:r>
    </w:p>
    <w:p w:rsidR="00AB4763" w:rsidRDefault="0030142A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九</w:t>
      </w:r>
      <w:r w:rsidR="0009462E">
        <w:rPr>
          <w:rFonts w:hint="eastAsia"/>
          <w:sz w:val="30"/>
          <w:szCs w:val="30"/>
        </w:rPr>
        <w:t>、市政工程系统规划</w:t>
      </w:r>
    </w:p>
    <w:p w:rsidR="00AB4763" w:rsidRDefault="0009462E">
      <w:pPr>
        <w:spacing w:line="360" w:lineRule="auto"/>
        <w:ind w:firstLineChars="200" w:firstLine="482"/>
        <w:rPr>
          <w:rFonts w:ascii="仿宋" w:eastAsia="仿宋" w:hAnsi="仿宋" w:cs="Times New Roman"/>
          <w:b/>
          <w:bCs/>
          <w:sz w:val="24"/>
          <w:szCs w:val="24"/>
        </w:rPr>
      </w:pPr>
      <w:r>
        <w:rPr>
          <w:rFonts w:ascii="仿宋" w:eastAsia="仿宋" w:hAnsi="仿宋" w:cs="Times New Roman" w:hint="eastAsia"/>
          <w:b/>
          <w:bCs/>
          <w:sz w:val="24"/>
          <w:szCs w:val="24"/>
        </w:rPr>
        <w:t>（一）竖向工程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按照满足使用要求，节省土方和减少防护工程的原则，新建道路填挖高度和深度都不宜太大，并且须与现状道路、桥梁的竖向充分衔接。规划大部分道路坡度控制在2%以内。道路的坡向应尽量与雨水排水方向一致，以便于管道的敷设，减少管道的埋深。</w:t>
      </w:r>
    </w:p>
    <w:p w:rsidR="00AB4763" w:rsidRDefault="0009462E">
      <w:pPr>
        <w:spacing w:line="360" w:lineRule="auto"/>
        <w:ind w:firstLineChars="200" w:firstLine="482"/>
        <w:rPr>
          <w:rFonts w:ascii="仿宋" w:eastAsia="仿宋" w:hAnsi="仿宋" w:cs="Times New Roman"/>
          <w:b/>
          <w:bCs/>
          <w:sz w:val="24"/>
          <w:szCs w:val="24"/>
        </w:rPr>
      </w:pPr>
      <w:r>
        <w:rPr>
          <w:rFonts w:ascii="仿宋" w:eastAsia="仿宋" w:hAnsi="仿宋" w:cs="Times New Roman" w:hint="eastAsia"/>
          <w:b/>
          <w:bCs/>
          <w:sz w:val="24"/>
          <w:szCs w:val="24"/>
        </w:rPr>
        <w:lastRenderedPageBreak/>
        <w:t>（二）市政设施规划</w:t>
      </w:r>
    </w:p>
    <w:p w:rsidR="00AB4763" w:rsidRDefault="0009462E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规划区内设置1处110</w:t>
      </w:r>
      <w:r>
        <w:rPr>
          <w:rFonts w:ascii="仿宋" w:eastAsia="仿宋" w:hAnsi="仿宋" w:cs="Times New Roman"/>
          <w:sz w:val="24"/>
          <w:szCs w:val="24"/>
        </w:rPr>
        <w:t>k</w:t>
      </w:r>
      <w:r>
        <w:rPr>
          <w:rFonts w:ascii="仿宋" w:eastAsia="仿宋" w:hAnsi="仿宋" w:cs="Times New Roman" w:hint="eastAsia"/>
          <w:sz w:val="24"/>
          <w:szCs w:val="24"/>
        </w:rPr>
        <w:t>V变电站，</w:t>
      </w:r>
      <w:r>
        <w:rPr>
          <w:rFonts w:ascii="仿宋" w:eastAsia="仿宋" w:hAnsi="仿宋" w:cs="Times New Roman"/>
          <w:sz w:val="24"/>
          <w:szCs w:val="24"/>
        </w:rPr>
        <w:t>1</w:t>
      </w:r>
      <w:r>
        <w:rPr>
          <w:rFonts w:ascii="仿宋" w:eastAsia="仿宋" w:hAnsi="仿宋" w:cs="Times New Roman" w:hint="eastAsia"/>
          <w:sz w:val="24"/>
          <w:szCs w:val="24"/>
        </w:rPr>
        <w:t>处垃圾转运站，</w:t>
      </w:r>
      <w:r>
        <w:rPr>
          <w:rFonts w:ascii="仿宋" w:eastAsia="仿宋" w:hAnsi="仿宋" w:cs="Times New Roman"/>
          <w:sz w:val="24"/>
          <w:szCs w:val="24"/>
        </w:rPr>
        <w:t>1</w:t>
      </w:r>
      <w:r>
        <w:rPr>
          <w:rFonts w:ascii="仿宋" w:eastAsia="仿宋" w:hAnsi="仿宋" w:cs="Times New Roman" w:hint="eastAsia"/>
          <w:sz w:val="24"/>
          <w:szCs w:val="24"/>
        </w:rPr>
        <w:t>处</w:t>
      </w:r>
      <w:r w:rsidR="00952161">
        <w:rPr>
          <w:rFonts w:ascii="仿宋" w:eastAsia="仿宋" w:hAnsi="仿宋" w:cs="Times New Roman" w:hint="eastAsia"/>
          <w:sz w:val="24"/>
          <w:szCs w:val="24"/>
        </w:rPr>
        <w:t>一级</w:t>
      </w:r>
      <w:r>
        <w:rPr>
          <w:rFonts w:ascii="仿宋" w:eastAsia="仿宋" w:hAnsi="仿宋" w:cs="Times New Roman" w:hint="eastAsia"/>
          <w:sz w:val="24"/>
          <w:szCs w:val="24"/>
        </w:rPr>
        <w:t>消防站。</w:t>
      </w:r>
      <w:bookmarkStart w:id="1" w:name="_GoBack"/>
      <w:bookmarkEnd w:id="1"/>
    </w:p>
    <w:sectPr w:rsidR="00AB47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6F4" w:rsidRDefault="006B06F4" w:rsidP="0030142A">
      <w:r>
        <w:separator/>
      </w:r>
    </w:p>
  </w:endnote>
  <w:endnote w:type="continuationSeparator" w:id="0">
    <w:p w:rsidR="006B06F4" w:rsidRDefault="006B06F4" w:rsidP="0030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6F4" w:rsidRDefault="006B06F4" w:rsidP="0030142A">
      <w:r>
        <w:separator/>
      </w:r>
    </w:p>
  </w:footnote>
  <w:footnote w:type="continuationSeparator" w:id="0">
    <w:p w:rsidR="006B06F4" w:rsidRDefault="006B06F4" w:rsidP="00301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54"/>
    <w:rsid w:val="000073FD"/>
    <w:rsid w:val="0009462E"/>
    <w:rsid w:val="000B3F32"/>
    <w:rsid w:val="000C759D"/>
    <w:rsid w:val="00132AEE"/>
    <w:rsid w:val="002031DA"/>
    <w:rsid w:val="0030142A"/>
    <w:rsid w:val="00497BD0"/>
    <w:rsid w:val="004F01DE"/>
    <w:rsid w:val="005F3024"/>
    <w:rsid w:val="006B06F4"/>
    <w:rsid w:val="006B4A45"/>
    <w:rsid w:val="00720654"/>
    <w:rsid w:val="007D36E9"/>
    <w:rsid w:val="00806339"/>
    <w:rsid w:val="008F1277"/>
    <w:rsid w:val="00952161"/>
    <w:rsid w:val="009559D3"/>
    <w:rsid w:val="00981998"/>
    <w:rsid w:val="00981A8B"/>
    <w:rsid w:val="009D20E3"/>
    <w:rsid w:val="00A914DD"/>
    <w:rsid w:val="00A96E50"/>
    <w:rsid w:val="00AB4763"/>
    <w:rsid w:val="00B52F54"/>
    <w:rsid w:val="00B96C5E"/>
    <w:rsid w:val="00BB18AE"/>
    <w:rsid w:val="00C92A15"/>
    <w:rsid w:val="00CB0F49"/>
    <w:rsid w:val="00CE3199"/>
    <w:rsid w:val="00CF2C84"/>
    <w:rsid w:val="00D92B59"/>
    <w:rsid w:val="00E57492"/>
    <w:rsid w:val="00E95EF4"/>
    <w:rsid w:val="00EF65C9"/>
    <w:rsid w:val="00F43682"/>
    <w:rsid w:val="5A66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D19BB29-E16E-4898-AA0B-C71D7352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-11">
    <w:name w:val="彩色列表 - 强调文字颜色 11"/>
    <w:basedOn w:val="a"/>
    <w:uiPriority w:val="3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014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142A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14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14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杨晓亮</dc:creator>
  <cp:lastModifiedBy>admin</cp:lastModifiedBy>
  <cp:revision>29</cp:revision>
  <dcterms:created xsi:type="dcterms:W3CDTF">2020-11-10T06:13:00Z</dcterms:created>
  <dcterms:modified xsi:type="dcterms:W3CDTF">2020-11-11T07:19:00Z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