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2020年丰顺县总工会社会化工会工作者公开招聘面试成绩和进入体检人员名单公示</w:t>
      </w:r>
    </w:p>
    <w:p>
      <w:pPr>
        <w:rPr>
          <w:rFonts w:hint="eastAsia"/>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现将2020年丰顺县总工会社会化工会工作者公开招聘面试成绩和进入体检人员名单予以公布。公示期间，如有异议，请以书面形式或电话向县人力资源和社会保障局事业单位管理股反映。反映情况必须注重依据和事实，同时要使用真实姓名和联系方式，匿名信函恕不予受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公示时间：2020年12月16日-12月18日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受理电话：0753-6886391</w:t>
      </w:r>
    </w:p>
    <w:p>
      <w:pPr>
        <w:rPr>
          <w:rFonts w:hint="eastAsia"/>
          <w:lang w:val="en-US" w:eastAsia="zh-CN"/>
        </w:rPr>
      </w:pPr>
    </w:p>
    <w:tbl>
      <w:tblPr>
        <w:tblStyle w:val="3"/>
        <w:tblW w:w="10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60"/>
        <w:gridCol w:w="1515"/>
        <w:gridCol w:w="2295"/>
        <w:gridCol w:w="1920"/>
        <w:gridCol w:w="1440"/>
        <w:gridCol w:w="1335"/>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jc w:val="center"/>
        </w:trPr>
        <w:tc>
          <w:tcPr>
            <w:tcW w:w="660" w:type="dxa"/>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序号</w:t>
            </w:r>
          </w:p>
        </w:tc>
        <w:tc>
          <w:tcPr>
            <w:tcW w:w="1515" w:type="dxa"/>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岗位编号</w:t>
            </w:r>
          </w:p>
        </w:tc>
        <w:tc>
          <w:tcPr>
            <w:tcW w:w="2295" w:type="dxa"/>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准考证号</w:t>
            </w:r>
          </w:p>
        </w:tc>
        <w:tc>
          <w:tcPr>
            <w:tcW w:w="1920" w:type="dxa"/>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电脑实操成绩</w:t>
            </w:r>
          </w:p>
        </w:tc>
        <w:tc>
          <w:tcPr>
            <w:tcW w:w="1440" w:type="dxa"/>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面试成绩</w:t>
            </w:r>
          </w:p>
        </w:tc>
        <w:tc>
          <w:tcPr>
            <w:tcW w:w="1335" w:type="dxa"/>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总成绩</w:t>
            </w:r>
          </w:p>
        </w:tc>
        <w:tc>
          <w:tcPr>
            <w:tcW w:w="1800" w:type="dxa"/>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是否进入体检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1</w:t>
            </w:r>
          </w:p>
        </w:tc>
        <w:tc>
          <w:tcPr>
            <w:tcW w:w="0" w:type="auto"/>
            <w:vMerge w:val="restart"/>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G01</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202012N01</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87.25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78.95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83.10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w:t>
            </w:r>
          </w:p>
        </w:tc>
        <w:tc>
          <w:tcPr>
            <w:tcW w:w="0" w:type="auto"/>
            <w:vMerge w:val="continue"/>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202012N02</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78.28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77.50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77.89</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G02</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202012N03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79.53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73.65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76.59</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4</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G03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202012N04</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72.78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73.15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72.97</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G04</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202012N05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76.78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76.30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76.54</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6</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G05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202012N06</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63.78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77.80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70.79</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w:t>
            </w:r>
          </w:p>
        </w:tc>
        <w:tc>
          <w:tcPr>
            <w:tcW w:w="0" w:type="auto"/>
            <w:vMerge w:val="restart"/>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G06</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202012N07</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88.75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79.10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83.93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w:t>
            </w:r>
          </w:p>
        </w:tc>
        <w:tc>
          <w:tcPr>
            <w:tcW w:w="0" w:type="auto"/>
            <w:vMerge w:val="continue"/>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202012N10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80.03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78.45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79.24</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9</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G07</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202012N11</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80.78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75.55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78.17</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10</w:t>
            </w:r>
          </w:p>
        </w:tc>
        <w:tc>
          <w:tcPr>
            <w:tcW w:w="0" w:type="auto"/>
            <w:vMerge w:val="restart"/>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G08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202012N12</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89.78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80.70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85.24</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11</w:t>
            </w:r>
          </w:p>
        </w:tc>
        <w:tc>
          <w:tcPr>
            <w:tcW w:w="0" w:type="auto"/>
            <w:vMerge w:val="continue"/>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202012N19</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80.78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73.95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77.37</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12</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G09</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202012N20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67.50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79.95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73.73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13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G10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202012N21</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70.78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77.30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74.04</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14</w:t>
            </w:r>
          </w:p>
        </w:tc>
        <w:tc>
          <w:tcPr>
            <w:tcW w:w="0" w:type="auto"/>
            <w:vMerge w:val="restart"/>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G11</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202012N22</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91.03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76.10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83.57</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15</w:t>
            </w:r>
          </w:p>
        </w:tc>
        <w:tc>
          <w:tcPr>
            <w:tcW w:w="0" w:type="auto"/>
            <w:vMerge w:val="continue"/>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202012N23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73.28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78.80</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76.04</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16</w:t>
            </w:r>
          </w:p>
        </w:tc>
        <w:tc>
          <w:tcPr>
            <w:tcW w:w="0" w:type="auto"/>
            <w:vMerge w:val="restart"/>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G12</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202012N25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87.28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缺考</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43.64</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17</w:t>
            </w:r>
          </w:p>
        </w:tc>
        <w:tc>
          <w:tcPr>
            <w:tcW w:w="0" w:type="auto"/>
            <w:vMerge w:val="continue"/>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202012N26</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77.03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76.25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76.64</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jc w:val="center"/>
        </w:trPr>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18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G13</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202012N27</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70.78</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73.55</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72.17</w:t>
            </w:r>
          </w:p>
        </w:tc>
        <w:tc>
          <w:tcPr>
            <w:tcW w:w="0" w:type="auto"/>
            <w:tcBorders>
              <w:tl2br w:val="nil"/>
              <w:tr2bl w:val="nil"/>
            </w:tcBorders>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是</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1、体检时间：另行通知；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2、体检地点：丰顺县中医院;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3、所需证件：考生携带笔试准考证、身份证原件；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4、体检费用：245元/人，由考生自付;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5、近期免冠彩色二寸照片一张。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丰顺县总工会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2020年12月16日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1、体检标准按《广东省事业单位公开招聘人员体检实施细则（试行）》规定执行。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2、体检前一天注意休息，勿熬夜，不要饮酒，避免剧烈运动。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3、体检前一晚22:00后禁食，需验尿的应尽量留早晨第一次尿，女性经期期间不宜做尿常规检查。做肝胆彩超也需空腹。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4、体检当日宜穿舒适服装便于检查，女性勿穿裙装。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5、妇科、早孕、膀胱、前列腺、盆腔彩超检查者应憋尿至膀胱充盈方可检查（妇科阴道彩超除外，但未婚女性、怀孕及经期女性禁作此检查）。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6、怀孕及有可能怀孕的女性接受检查，请先告知体检医生，勿做CT、X光、碳14呼气试验检查。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7、做心电图、测量血压和中医经络检测需要静坐15分钟后测量，测量时心情要放松，避免精神紧张，保持情绪稳定。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8、若考生自动放弃某一体检项目，按体检不合格处理。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9、对冒名顶替、隐瞒病史或弄虚作假的考生，取消聘用资格。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考生对体检结果有疑问的，可以提出复检要求，复检要求在接到体检结论通知之日起3个工作日内提出，复检只进行一次，体检结果以复检结论为准。但对身高、体重、视力、血压、心电图等可即时给出结论的体检项目，考生有疑问的应当场提出并复检，体检结束后，不再安排复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11、进入体检人员请保持电话联络畅通，以便随时通过电话或手机短信方式与考生联系，不按时参加体检或证件携带不齐的，视为自动放弃体检资格。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备注：检验科、彩超、心电图、妇科检查、中医经络检测（门诊楼二楼）、理疗康复科（门诊楼五楼）、X光/CT（住院楼一楼）、胃肠镜室（康复楼三楼）、五官科（康复楼四楼）。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办公咨询电话：0753-6623810</w:t>
      </w:r>
      <w:bookmarkStart w:id="0" w:name="_GoBack"/>
      <w:bookmarkEnd w:id="0"/>
    </w:p>
    <w:sectPr>
      <w:pgSz w:w="11906" w:h="16838"/>
      <w:pgMar w:top="1440" w:right="1080" w:bottom="1440" w:left="108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86A42"/>
    <w:rsid w:val="25363ABD"/>
    <w:rsid w:val="5D362920"/>
    <w:rsid w:val="5E786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2020-12-15T02:18:00Z</dcterms:created>
  <dc:creator>丰顺县总工会办公室</dc:creator>
  <cp:lastModifiedBy>丰顺县总工会办公室</cp:lastModifiedBy>
  <cp:lastPrinted>2020-12-16T01:00:06Z</cp:lastPrinted>
  <dcterms:modified xsi:type="dcterms:W3CDTF">2020-12-16T02:18:56Z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