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31F" w:rsidRDefault="00DC0720">
      <w:pPr>
        <w:jc w:val="center"/>
        <w:rPr>
          <w:rFonts w:ascii="仿宋" w:eastAsia="仿宋" w:hAnsi="仿宋" w:hint="eastAsia"/>
          <w:b/>
          <w:bCs/>
          <w:sz w:val="36"/>
          <w:szCs w:val="36"/>
        </w:rPr>
      </w:pPr>
      <w:r>
        <w:rPr>
          <w:rFonts w:ascii="仿宋" w:eastAsia="仿宋" w:hAnsi="仿宋" w:hint="eastAsia"/>
          <w:b/>
          <w:bCs/>
          <w:sz w:val="36"/>
          <w:szCs w:val="36"/>
        </w:rPr>
        <w:t>《丰顺县中心城区</w:t>
      </w:r>
      <w:r>
        <w:rPr>
          <w:rFonts w:ascii="仿宋" w:eastAsia="仿宋" w:hAnsi="仿宋" w:hint="eastAsia"/>
          <w:b/>
          <w:bCs/>
          <w:sz w:val="36"/>
          <w:szCs w:val="36"/>
        </w:rPr>
        <w:t>东兴</w:t>
      </w:r>
      <w:r>
        <w:rPr>
          <w:rFonts w:ascii="仿宋" w:eastAsia="仿宋" w:hAnsi="仿宋" w:hint="eastAsia"/>
          <w:b/>
          <w:bCs/>
          <w:sz w:val="36"/>
          <w:szCs w:val="36"/>
        </w:rPr>
        <w:t>片区控制性详细规划》</w:t>
      </w:r>
    </w:p>
    <w:p w:rsidR="00E70CC4" w:rsidRDefault="00DC0720">
      <w:pPr>
        <w:jc w:val="center"/>
        <w:rPr>
          <w:rFonts w:ascii="仿宋" w:eastAsia="仿宋" w:hAnsi="仿宋"/>
          <w:b/>
          <w:bCs/>
          <w:sz w:val="36"/>
          <w:szCs w:val="36"/>
        </w:rPr>
      </w:pPr>
      <w:r>
        <w:rPr>
          <w:rFonts w:ascii="仿宋" w:eastAsia="仿宋" w:hAnsi="仿宋" w:hint="eastAsia"/>
          <w:b/>
          <w:bCs/>
          <w:sz w:val="36"/>
          <w:szCs w:val="36"/>
        </w:rPr>
        <w:t>主要内容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一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规划范围</w:t>
      </w:r>
    </w:p>
    <w:p w:rsidR="00E70CC4" w:rsidRDefault="00DC0720">
      <w:pPr>
        <w:pStyle w:val="-11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本规划范围位于丰顺县中心城区东北部，本次控制性详细规划范围总用地面积</w:t>
      </w:r>
      <w:r>
        <w:rPr>
          <w:rFonts w:ascii="仿宋" w:eastAsia="仿宋" w:hAnsi="仿宋" w:hint="eastAsia"/>
        </w:rPr>
        <w:t>96.93</w:t>
      </w:r>
      <w:r>
        <w:rPr>
          <w:rFonts w:ascii="仿宋" w:eastAsia="仿宋" w:hAnsi="仿宋" w:hint="eastAsia"/>
        </w:rPr>
        <w:t>公顷，具体范围是：东至、南至汶水河、西至广梅汕铁路、北至埔河村西部。</w:t>
      </w:r>
    </w:p>
    <w:p w:rsidR="00E70CC4" w:rsidRDefault="00DC0720" w:rsidP="0009331F">
      <w:pPr>
        <w:pStyle w:val="-11"/>
        <w:spacing w:beforeLines="50" w:afterLines="50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bookmarkStart w:id="0" w:name="_GoBack"/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3980180" cy="4417060"/>
            <wp:effectExtent l="9525" t="9525" r="10795" b="12065"/>
            <wp:docPr id="1" name="图片 1" descr="1-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区位分析图"/>
                    <pic:cNvPicPr>
                      <a:picLocks noChangeAspect="1"/>
                    </pic:cNvPicPr>
                  </pic:nvPicPr>
                  <pic:blipFill>
                    <a:blip r:embed="rId7"/>
                    <a:srcRect l="11010" t="34360" r="11346" b="4716"/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4417060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bookmarkEnd w:id="0"/>
    </w:p>
    <w:p w:rsidR="00E70CC4" w:rsidRDefault="00DC0720">
      <w:pPr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区位图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二、发展目标及功能定位</w:t>
      </w:r>
    </w:p>
    <w:p w:rsidR="00E70CC4" w:rsidRDefault="00DC0720">
      <w:pPr>
        <w:pStyle w:val="-11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依托优质的生态环境、便利的交通区位、重大项目的机遇，打造集优质居住、科教文化、生态休闲等多种功能于一体的宜居活力社区。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三、空间结构</w:t>
      </w:r>
    </w:p>
    <w:p w:rsidR="00E70CC4" w:rsidRDefault="00DC0720">
      <w:pPr>
        <w:pStyle w:val="-11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本片区规划的空间结构为</w:t>
      </w:r>
      <w:r>
        <w:rPr>
          <w:rFonts w:ascii="仿宋" w:eastAsia="仿宋" w:hAnsi="仿宋" w:hint="eastAsia"/>
          <w:b/>
          <w:bCs/>
        </w:rPr>
        <w:t>“一廊一带两组团”</w:t>
      </w:r>
      <w:r>
        <w:rPr>
          <w:rFonts w:ascii="仿宋" w:eastAsia="仿宋" w:hAnsi="仿宋" w:hint="eastAsia"/>
        </w:rPr>
        <w:t>。</w:t>
      </w:r>
    </w:p>
    <w:p w:rsidR="00E70CC4" w:rsidRDefault="00DC0720">
      <w:pPr>
        <w:pStyle w:val="-11"/>
        <w:ind w:firstLine="482"/>
        <w:rPr>
          <w:rFonts w:ascii="仿宋" w:eastAsia="仿宋" w:hAnsi="仿宋"/>
        </w:rPr>
      </w:pPr>
      <w:r>
        <w:rPr>
          <w:rFonts w:ascii="仿宋" w:eastAsia="仿宋" w:hAnsi="仿宋" w:hint="eastAsia"/>
          <w:b/>
          <w:bCs/>
        </w:rPr>
        <w:t>一廊：</w:t>
      </w:r>
      <w:r>
        <w:rPr>
          <w:rFonts w:ascii="仿宋" w:eastAsia="仿宋" w:hAnsi="仿宋" w:hint="eastAsia"/>
        </w:rPr>
        <w:t>依托东兴路形成东西向的“城镇发展轴”，是片区沟通丰顺中心城区、对外联系的主要廊道。</w:t>
      </w:r>
    </w:p>
    <w:p w:rsidR="00E70CC4" w:rsidRDefault="00DC0720">
      <w:pPr>
        <w:pStyle w:val="-11"/>
        <w:ind w:firstLine="482"/>
        <w:rPr>
          <w:rFonts w:ascii="仿宋" w:eastAsia="仿宋" w:hAnsi="仿宋"/>
        </w:rPr>
      </w:pPr>
      <w:r>
        <w:rPr>
          <w:rFonts w:ascii="仿宋" w:eastAsia="仿宋" w:hAnsi="仿宋" w:hint="eastAsia"/>
          <w:b/>
          <w:bCs/>
        </w:rPr>
        <w:t>一带：</w:t>
      </w:r>
      <w:r>
        <w:rPr>
          <w:rFonts w:ascii="仿宋" w:eastAsia="仿宋" w:hAnsi="仿宋" w:hint="eastAsia"/>
        </w:rPr>
        <w:t>依托汶水河形成“滨水生态景观带”，沿岸布局公园绿地，形成串联规划区域的生态绿廊，有机串接规划区内两个功能组团，作为区域生态功能的依托；同时连贯的公园绿地布局也为市民提供了游憩空间，提升了整个区域的生活品质。</w:t>
      </w:r>
    </w:p>
    <w:p w:rsidR="00E70CC4" w:rsidRDefault="00DC0720">
      <w:pPr>
        <w:pStyle w:val="-11"/>
        <w:ind w:firstLine="482"/>
        <w:rPr>
          <w:rFonts w:ascii="仿宋" w:eastAsia="仿宋" w:hAnsi="仿宋"/>
        </w:rPr>
      </w:pPr>
      <w:r>
        <w:rPr>
          <w:rFonts w:ascii="仿宋" w:eastAsia="仿宋" w:hAnsi="仿宋" w:hint="eastAsia"/>
          <w:b/>
          <w:bCs/>
        </w:rPr>
        <w:t>两组团：</w:t>
      </w:r>
      <w:r>
        <w:rPr>
          <w:rFonts w:ascii="仿宋" w:eastAsia="仿宋" w:hAnsi="仿宋" w:hint="eastAsia"/>
        </w:rPr>
        <w:t>北部科教生活组团布置科教服务、文化服务、居住服务等综合服务功能，南部滨水宜居组团以居住服务为主，配套生活服务。</w:t>
      </w:r>
    </w:p>
    <w:p w:rsidR="00E70CC4" w:rsidRDefault="00DC0720">
      <w:pPr>
        <w:jc w:val="center"/>
      </w:pPr>
      <w:r>
        <w:rPr>
          <w:noProof/>
        </w:rPr>
        <w:drawing>
          <wp:inline distT="0" distB="0" distL="114300" distR="114300">
            <wp:extent cx="3691255" cy="3735705"/>
            <wp:effectExtent l="9525" t="9525" r="13970" b="266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373570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0CC4" w:rsidRDefault="00DC0720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 xml:space="preserve">2 </w:t>
      </w:r>
      <w:r>
        <w:rPr>
          <w:rFonts w:ascii="仿宋" w:eastAsia="仿宋" w:hAnsi="仿宋" w:hint="eastAsia"/>
          <w:sz w:val="28"/>
          <w:szCs w:val="28"/>
        </w:rPr>
        <w:t>空间结构图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四、人口规模与建设用地规模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本规划确定规划区内总人口规模为</w:t>
      </w:r>
      <w:r>
        <w:rPr>
          <w:rFonts w:ascii="仿宋" w:eastAsia="仿宋" w:hAnsi="仿宋" w:cs="Times New Roman" w:hint="eastAsia"/>
          <w:sz w:val="24"/>
          <w:szCs w:val="24"/>
        </w:rPr>
        <w:t>1.4</w:t>
      </w:r>
      <w:r>
        <w:rPr>
          <w:rFonts w:ascii="仿宋" w:eastAsia="仿宋" w:hAnsi="仿宋" w:cs="Times New Roman" w:hint="eastAsia"/>
          <w:sz w:val="24"/>
          <w:szCs w:val="24"/>
        </w:rPr>
        <w:t>万人</w:t>
      </w:r>
      <w:r>
        <w:rPr>
          <w:rFonts w:ascii="仿宋" w:eastAsia="仿宋" w:hAnsi="仿宋" w:cs="Times New Roman" w:hint="eastAsia"/>
          <w:sz w:val="24"/>
          <w:szCs w:val="24"/>
        </w:rPr>
        <w:t>，建设用地规模为</w:t>
      </w:r>
      <w:r>
        <w:rPr>
          <w:rFonts w:ascii="仿宋" w:eastAsia="仿宋" w:hAnsi="仿宋" w:cs="Times New Roman" w:hint="eastAsia"/>
          <w:sz w:val="24"/>
          <w:szCs w:val="24"/>
        </w:rPr>
        <w:t>70.52</w:t>
      </w:r>
      <w:r>
        <w:rPr>
          <w:rFonts w:ascii="仿宋" w:eastAsia="仿宋" w:hAnsi="仿宋" w:cs="Times New Roman" w:hint="eastAsia"/>
          <w:sz w:val="24"/>
          <w:szCs w:val="24"/>
        </w:rPr>
        <w:t>公顷，</w:t>
      </w:r>
      <w:r>
        <w:rPr>
          <w:rFonts w:ascii="仿宋" w:eastAsia="仿宋" w:hAnsi="仿宋" w:cs="Times New Roman" w:hint="eastAsia"/>
          <w:sz w:val="24"/>
          <w:szCs w:val="24"/>
        </w:rPr>
        <w:lastRenderedPageBreak/>
        <w:t>人均建设用地面积为</w:t>
      </w:r>
      <w:r>
        <w:rPr>
          <w:rFonts w:ascii="仿宋" w:eastAsia="仿宋" w:hAnsi="仿宋" w:cs="Times New Roman" w:hint="eastAsia"/>
          <w:sz w:val="24"/>
          <w:szCs w:val="24"/>
        </w:rPr>
        <w:t>50.37</w:t>
      </w:r>
      <w:r>
        <w:rPr>
          <w:rFonts w:ascii="仿宋" w:eastAsia="仿宋" w:hAnsi="仿宋" w:cs="Times New Roman" w:hint="eastAsia"/>
          <w:sz w:val="24"/>
          <w:szCs w:val="24"/>
        </w:rPr>
        <w:t>平方米。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五、土地利用规划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按照“管理单元、地块”二级管理体系进行地块划分、编码及管理，本规划依据《城市用地分类与规划建设用地标准（</w:t>
      </w:r>
      <w:r>
        <w:rPr>
          <w:rFonts w:ascii="仿宋" w:eastAsia="仿宋" w:hAnsi="仿宋" w:cs="Times New Roman" w:hint="eastAsia"/>
          <w:sz w:val="24"/>
          <w:szCs w:val="24"/>
        </w:rPr>
        <w:t>GB 50137</w:t>
      </w:r>
      <w:r>
        <w:rPr>
          <w:rFonts w:ascii="仿宋" w:eastAsia="仿宋" w:hAnsi="仿宋" w:cs="Times New Roman" w:hint="eastAsia"/>
          <w:sz w:val="24"/>
          <w:szCs w:val="24"/>
        </w:rPr>
        <w:t>—</w:t>
      </w:r>
      <w:r>
        <w:rPr>
          <w:rFonts w:ascii="仿宋" w:eastAsia="仿宋" w:hAnsi="仿宋" w:cs="Times New Roman" w:hint="eastAsia"/>
          <w:sz w:val="24"/>
          <w:szCs w:val="24"/>
        </w:rPr>
        <w:t>2011</w:t>
      </w:r>
      <w:r>
        <w:rPr>
          <w:rFonts w:ascii="仿宋" w:eastAsia="仿宋" w:hAnsi="仿宋" w:cs="Times New Roman" w:hint="eastAsia"/>
          <w:sz w:val="24"/>
          <w:szCs w:val="24"/>
        </w:rPr>
        <w:t>）》确定地块用地性质，原则上划分至中类，部分公共管理与公共服务设施用地、公用设施用地划分至小类。同一用地性质地块可合并或者细分进行开发建设。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规划区范围面积为</w:t>
      </w:r>
      <w:r>
        <w:rPr>
          <w:rFonts w:ascii="仿宋" w:eastAsia="仿宋" w:hAnsi="仿宋" w:cs="Times New Roman" w:hint="eastAsia"/>
          <w:sz w:val="24"/>
          <w:szCs w:val="24"/>
        </w:rPr>
        <w:t>96.93</w:t>
      </w:r>
      <w:r>
        <w:rPr>
          <w:rFonts w:ascii="仿宋" w:eastAsia="仿宋" w:hAnsi="仿宋" w:cs="Times New Roman" w:hint="eastAsia"/>
          <w:sz w:val="24"/>
          <w:szCs w:val="24"/>
        </w:rPr>
        <w:t>公顷，其中建设用地为</w:t>
      </w:r>
      <w:r>
        <w:rPr>
          <w:rFonts w:ascii="仿宋" w:eastAsia="仿宋" w:hAnsi="仿宋" w:cs="Times New Roman" w:hint="eastAsia"/>
          <w:sz w:val="24"/>
          <w:szCs w:val="24"/>
        </w:rPr>
        <w:t>70.52</w:t>
      </w:r>
      <w:r>
        <w:rPr>
          <w:rFonts w:ascii="仿宋" w:eastAsia="仿宋" w:hAnsi="仿宋" w:cs="Times New Roman" w:hint="eastAsia"/>
          <w:sz w:val="24"/>
          <w:szCs w:val="24"/>
        </w:rPr>
        <w:t>公顷，占比</w:t>
      </w:r>
      <w:r>
        <w:rPr>
          <w:rFonts w:ascii="仿宋" w:eastAsia="仿宋" w:hAnsi="仿宋" w:cs="Times New Roman" w:hint="eastAsia"/>
          <w:sz w:val="24"/>
          <w:szCs w:val="24"/>
        </w:rPr>
        <w:t>72.75%</w:t>
      </w:r>
      <w:r>
        <w:rPr>
          <w:rFonts w:ascii="仿宋" w:eastAsia="仿宋" w:hAnsi="仿宋" w:cs="Times New Roman" w:hint="eastAsia"/>
          <w:sz w:val="24"/>
          <w:szCs w:val="24"/>
        </w:rPr>
        <w:t>，水域及其他非建设用地为</w:t>
      </w:r>
      <w:r>
        <w:rPr>
          <w:rFonts w:ascii="仿宋" w:eastAsia="仿宋" w:hAnsi="仿宋" w:cs="Times New Roman" w:hint="eastAsia"/>
          <w:sz w:val="24"/>
          <w:szCs w:val="24"/>
        </w:rPr>
        <w:t>26.41</w:t>
      </w:r>
      <w:r>
        <w:rPr>
          <w:rFonts w:ascii="仿宋" w:eastAsia="仿宋" w:hAnsi="仿宋" w:cs="Times New Roman" w:hint="eastAsia"/>
          <w:sz w:val="24"/>
          <w:szCs w:val="24"/>
        </w:rPr>
        <w:t>公顷，占比为</w:t>
      </w:r>
      <w:r>
        <w:rPr>
          <w:rFonts w:ascii="仿宋" w:eastAsia="仿宋" w:hAnsi="仿宋" w:cs="Times New Roman" w:hint="eastAsia"/>
          <w:sz w:val="24"/>
          <w:szCs w:val="24"/>
        </w:rPr>
        <w:t>27.25%</w:t>
      </w:r>
      <w:r>
        <w:rPr>
          <w:rFonts w:ascii="仿宋" w:eastAsia="仿宋" w:hAnsi="仿宋" w:cs="Times New Roman" w:hint="eastAsia"/>
          <w:sz w:val="24"/>
          <w:szCs w:val="24"/>
        </w:rPr>
        <w:t>。城市建设用地为</w:t>
      </w:r>
      <w:r>
        <w:rPr>
          <w:rFonts w:ascii="仿宋" w:eastAsia="仿宋" w:hAnsi="仿宋" w:cs="Times New Roman" w:hint="eastAsia"/>
          <w:sz w:val="24"/>
          <w:szCs w:val="24"/>
        </w:rPr>
        <w:t>68.70</w:t>
      </w:r>
      <w:r>
        <w:rPr>
          <w:rFonts w:ascii="仿宋" w:eastAsia="仿宋" w:hAnsi="仿宋" w:cs="Times New Roman" w:hint="eastAsia"/>
          <w:sz w:val="24"/>
          <w:szCs w:val="24"/>
        </w:rPr>
        <w:t>公顷，村庄建设用地</w:t>
      </w:r>
      <w:r>
        <w:rPr>
          <w:rFonts w:ascii="仿宋" w:eastAsia="仿宋" w:hAnsi="仿宋" w:cs="Times New Roman" w:hint="eastAsia"/>
          <w:sz w:val="24"/>
          <w:szCs w:val="24"/>
        </w:rPr>
        <w:t>1.82</w:t>
      </w:r>
      <w:r>
        <w:rPr>
          <w:rFonts w:ascii="仿宋" w:eastAsia="仿宋" w:hAnsi="仿宋" w:cs="Times New Roman" w:hint="eastAsia"/>
          <w:sz w:val="24"/>
          <w:szCs w:val="24"/>
        </w:rPr>
        <w:t>公顷。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城市建设用地中，居住用地面积</w:t>
      </w:r>
      <w:r>
        <w:rPr>
          <w:rFonts w:ascii="仿宋" w:eastAsia="仿宋" w:hAnsi="仿宋" w:cs="Times New Roman" w:hint="eastAsia"/>
          <w:sz w:val="24"/>
          <w:szCs w:val="24"/>
        </w:rPr>
        <w:t>38.01</w:t>
      </w:r>
      <w:r>
        <w:rPr>
          <w:rFonts w:ascii="仿宋" w:eastAsia="仿宋" w:hAnsi="仿宋" w:cs="Times New Roman" w:hint="eastAsia"/>
          <w:sz w:val="24"/>
          <w:szCs w:val="24"/>
        </w:rPr>
        <w:t>公顷，公共管理与公共</w:t>
      </w:r>
      <w:r>
        <w:rPr>
          <w:rFonts w:ascii="仿宋" w:eastAsia="仿宋" w:hAnsi="仿宋" w:cs="Times New Roman" w:hint="eastAsia"/>
          <w:sz w:val="24"/>
          <w:szCs w:val="24"/>
        </w:rPr>
        <w:t>服务设施</w:t>
      </w:r>
      <w:r>
        <w:rPr>
          <w:rFonts w:ascii="仿宋" w:eastAsia="仿宋" w:hAnsi="仿宋" w:cs="Times New Roman" w:hint="eastAsia"/>
          <w:sz w:val="24"/>
          <w:szCs w:val="24"/>
        </w:rPr>
        <w:t>用地面积</w:t>
      </w:r>
      <w:r>
        <w:rPr>
          <w:rFonts w:ascii="仿宋" w:eastAsia="仿宋" w:hAnsi="仿宋" w:cs="Times New Roman" w:hint="eastAsia"/>
          <w:sz w:val="24"/>
          <w:szCs w:val="24"/>
        </w:rPr>
        <w:t xml:space="preserve"> </w:t>
      </w:r>
      <w:r>
        <w:rPr>
          <w:rFonts w:ascii="仿宋" w:eastAsia="仿宋" w:hAnsi="仿宋" w:cs="Times New Roman" w:hint="eastAsia"/>
          <w:sz w:val="24"/>
          <w:szCs w:val="24"/>
        </w:rPr>
        <w:t>9.49</w:t>
      </w:r>
      <w:r>
        <w:rPr>
          <w:rFonts w:ascii="仿宋" w:eastAsia="仿宋" w:hAnsi="仿宋" w:cs="Times New Roman" w:hint="eastAsia"/>
          <w:sz w:val="24"/>
          <w:szCs w:val="24"/>
        </w:rPr>
        <w:t>公顷，道路与交通设施用地面积</w:t>
      </w:r>
      <w:r>
        <w:rPr>
          <w:rFonts w:ascii="仿宋" w:eastAsia="仿宋" w:hAnsi="仿宋" w:cs="Times New Roman" w:hint="eastAsia"/>
          <w:sz w:val="24"/>
          <w:szCs w:val="24"/>
        </w:rPr>
        <w:t>8.99</w:t>
      </w:r>
      <w:r>
        <w:rPr>
          <w:rFonts w:ascii="仿宋" w:eastAsia="仿宋" w:hAnsi="仿宋" w:cs="Times New Roman" w:hint="eastAsia"/>
          <w:sz w:val="24"/>
          <w:szCs w:val="24"/>
        </w:rPr>
        <w:t>公顷，公用设施用地面积</w:t>
      </w:r>
      <w:r>
        <w:rPr>
          <w:rFonts w:ascii="仿宋" w:eastAsia="仿宋" w:hAnsi="仿宋" w:cs="Times New Roman" w:hint="eastAsia"/>
          <w:sz w:val="24"/>
          <w:szCs w:val="24"/>
        </w:rPr>
        <w:t>2.97</w:t>
      </w:r>
      <w:r>
        <w:rPr>
          <w:rFonts w:ascii="仿宋" w:eastAsia="仿宋" w:hAnsi="仿宋" w:cs="Times New Roman" w:hint="eastAsia"/>
          <w:sz w:val="24"/>
          <w:szCs w:val="24"/>
        </w:rPr>
        <w:t>公顷，绿地与广场用地面积约</w:t>
      </w:r>
      <w:r>
        <w:rPr>
          <w:rFonts w:ascii="仿宋" w:eastAsia="仿宋" w:hAnsi="仿宋" w:cs="Times New Roman" w:hint="eastAsia"/>
          <w:sz w:val="24"/>
          <w:szCs w:val="24"/>
        </w:rPr>
        <w:t>9.24</w:t>
      </w:r>
      <w:r>
        <w:rPr>
          <w:rFonts w:ascii="仿宋" w:eastAsia="仿宋" w:hAnsi="仿宋" w:cs="Times New Roman" w:hint="eastAsia"/>
          <w:sz w:val="24"/>
          <w:szCs w:val="24"/>
        </w:rPr>
        <w:t>公顷。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本次规划采用三级图则控制体系，分别为片区总图则、管理单元图则、地块图则。控制内容主要包括：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（一）强制性控制内容：土地使用性质、建筑密度、建筑限高、容积率、绿地率、配套设施（公共服务设施、交通设施、市政公用设施）。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（二）除以上内容外，其余为指导性内容，是参照执行的指标。主要包括建筑形式、建筑色彩等。</w:t>
      </w:r>
    </w:p>
    <w:p w:rsidR="00E70CC4" w:rsidRDefault="00DC0720">
      <w:pPr>
        <w:spacing w:line="360" w:lineRule="auto"/>
        <w:jc w:val="center"/>
        <w:rPr>
          <w:rFonts w:ascii="仿宋" w:eastAsia="仿宋" w:hAnsi="仿宋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622800" cy="4821555"/>
            <wp:effectExtent l="9525" t="9525" r="15875" b="26670"/>
            <wp:docPr id="3" name="图片 3" descr="6-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-土地利用规划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482155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0CC4" w:rsidRDefault="00DC0720">
      <w:pPr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 xml:space="preserve">3 </w:t>
      </w:r>
      <w:r>
        <w:rPr>
          <w:rFonts w:ascii="仿宋" w:eastAsia="仿宋" w:hAnsi="仿宋" w:hint="eastAsia"/>
          <w:sz w:val="28"/>
          <w:szCs w:val="28"/>
        </w:rPr>
        <w:t>土地利用规划图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六、道路交通规划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构筑结构合理、功能清晰、通畅顺达的城市道路系统，促进综合交通枢纽建设，加速发展城市公共交通系统，并构建安全舒适的慢行系统，构建具有强大对外辐射能力和对内服务能力的高效、绿色、智能的现代化综合交通体系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规划</w:t>
      </w:r>
      <w:r>
        <w:rPr>
          <w:rFonts w:ascii="仿宋" w:eastAsia="仿宋" w:hAnsi="仿宋" w:cs="Times New Roman" w:hint="eastAsia"/>
          <w:sz w:val="24"/>
          <w:szCs w:val="24"/>
        </w:rPr>
        <w:t>区</w:t>
      </w:r>
      <w:r>
        <w:rPr>
          <w:rFonts w:ascii="仿宋" w:eastAsia="仿宋" w:hAnsi="仿宋" w:cs="Times New Roman" w:hint="eastAsia"/>
          <w:sz w:val="24"/>
          <w:szCs w:val="24"/>
        </w:rPr>
        <w:t>对外交通主要依靠国道</w:t>
      </w:r>
      <w:r>
        <w:rPr>
          <w:rFonts w:ascii="仿宋" w:eastAsia="仿宋" w:hAnsi="仿宋" w:cs="Times New Roman" w:hint="eastAsia"/>
          <w:sz w:val="24"/>
          <w:szCs w:val="24"/>
        </w:rPr>
        <w:t>206</w:t>
      </w:r>
      <w:r>
        <w:rPr>
          <w:rFonts w:ascii="仿宋" w:eastAsia="仿宋" w:hAnsi="仿宋" w:cs="Times New Roman" w:hint="eastAsia"/>
          <w:sz w:val="24"/>
          <w:szCs w:val="24"/>
        </w:rPr>
        <w:t>与省道</w:t>
      </w:r>
      <w:r>
        <w:rPr>
          <w:rFonts w:ascii="仿宋" w:eastAsia="仿宋" w:hAnsi="仿宋" w:cs="Times New Roman" w:hint="eastAsia"/>
          <w:sz w:val="24"/>
          <w:szCs w:val="24"/>
        </w:rPr>
        <w:t>224</w:t>
      </w:r>
      <w:r>
        <w:rPr>
          <w:rFonts w:ascii="仿宋" w:eastAsia="仿宋" w:hAnsi="仿宋" w:cs="Times New Roman" w:hint="eastAsia"/>
          <w:sz w:val="24"/>
          <w:szCs w:val="24"/>
        </w:rPr>
        <w:t>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结合自然山水格局和城市建设用地布局，构建“自由方格网式”的城市道路网络，规划区西侧边界为城市主干道，规划区内道路划分为城市次干道和</w:t>
      </w:r>
      <w:r>
        <w:rPr>
          <w:rFonts w:ascii="仿宋" w:eastAsia="仿宋" w:hAnsi="仿宋" w:cs="Times New Roman" w:hint="eastAsia"/>
          <w:sz w:val="24"/>
          <w:szCs w:val="24"/>
        </w:rPr>
        <w:t>城市支路两个等级。道路网密度为</w:t>
      </w:r>
      <w:r>
        <w:rPr>
          <w:rFonts w:ascii="仿宋" w:eastAsia="仿宋" w:hAnsi="仿宋" w:cs="Times New Roman" w:hint="eastAsia"/>
          <w:sz w:val="24"/>
          <w:szCs w:val="24"/>
        </w:rPr>
        <w:t>8.7</w:t>
      </w:r>
      <w:r>
        <w:rPr>
          <w:rFonts w:ascii="仿宋" w:eastAsia="仿宋" w:hAnsi="仿宋" w:cs="Times New Roman" w:hint="eastAsia"/>
          <w:sz w:val="24"/>
          <w:szCs w:val="24"/>
        </w:rPr>
        <w:t>千米</w:t>
      </w:r>
      <w:r>
        <w:rPr>
          <w:rFonts w:ascii="仿宋" w:eastAsia="仿宋" w:hAnsi="仿宋" w:cs="Times New Roman" w:hint="eastAsia"/>
          <w:sz w:val="24"/>
          <w:szCs w:val="24"/>
        </w:rPr>
        <w:t>/</w:t>
      </w:r>
      <w:r>
        <w:rPr>
          <w:rFonts w:ascii="仿宋" w:eastAsia="仿宋" w:hAnsi="仿宋" w:cs="Times New Roman" w:hint="eastAsia"/>
          <w:sz w:val="24"/>
          <w:szCs w:val="24"/>
        </w:rPr>
        <w:t>平方公里。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城市</w:t>
      </w:r>
      <w:r>
        <w:rPr>
          <w:rFonts w:ascii="仿宋" w:eastAsia="仿宋" w:hAnsi="仿宋" w:cs="Times New Roman" w:hint="eastAsia"/>
          <w:sz w:val="24"/>
          <w:szCs w:val="24"/>
        </w:rPr>
        <w:t>主干道：</w:t>
      </w:r>
      <w:r>
        <w:rPr>
          <w:rFonts w:ascii="仿宋" w:eastAsia="仿宋" w:hAnsi="仿宋" w:cs="Times New Roman" w:hint="eastAsia"/>
          <w:sz w:val="24"/>
          <w:szCs w:val="24"/>
        </w:rPr>
        <w:t>规划区范围边缘有城市主干道一条，为国道</w:t>
      </w:r>
      <w:r>
        <w:rPr>
          <w:rFonts w:ascii="仿宋" w:eastAsia="仿宋" w:hAnsi="仿宋" w:cs="Times New Roman" w:hint="eastAsia"/>
          <w:sz w:val="24"/>
          <w:szCs w:val="24"/>
        </w:rPr>
        <w:t>206</w:t>
      </w:r>
      <w:r>
        <w:rPr>
          <w:rFonts w:ascii="仿宋" w:eastAsia="仿宋" w:hAnsi="仿宋" w:cs="Times New Roman" w:hint="eastAsia"/>
          <w:sz w:val="24"/>
          <w:szCs w:val="24"/>
        </w:rPr>
        <w:t>，道路断面形式为四块板。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lastRenderedPageBreak/>
        <w:t>城市次干道</w:t>
      </w:r>
      <w:r>
        <w:rPr>
          <w:rFonts w:ascii="仿宋" w:eastAsia="仿宋" w:hAnsi="仿宋" w:cs="Times New Roman" w:hint="eastAsia"/>
          <w:sz w:val="24"/>
          <w:szCs w:val="24"/>
        </w:rPr>
        <w:t>：</w:t>
      </w:r>
      <w:r>
        <w:rPr>
          <w:rFonts w:ascii="仿宋" w:eastAsia="仿宋" w:hAnsi="仿宋" w:cs="Times New Roman" w:hint="eastAsia"/>
          <w:sz w:val="24"/>
          <w:szCs w:val="24"/>
        </w:rPr>
        <w:t>包括东兴路、东山路等，红线宽度为</w:t>
      </w:r>
      <w:r>
        <w:rPr>
          <w:rFonts w:ascii="仿宋" w:eastAsia="仿宋" w:hAnsi="仿宋" w:cs="Times New Roman" w:hint="eastAsia"/>
          <w:sz w:val="24"/>
          <w:szCs w:val="24"/>
        </w:rPr>
        <w:t>18</w:t>
      </w:r>
      <w:r>
        <w:rPr>
          <w:rFonts w:ascii="仿宋" w:eastAsia="仿宋" w:hAnsi="仿宋" w:cs="Times New Roman" w:hint="eastAsia"/>
          <w:sz w:val="24"/>
          <w:szCs w:val="24"/>
        </w:rPr>
        <w:t>米，次干道路网密度为</w:t>
      </w:r>
      <w:r>
        <w:rPr>
          <w:rFonts w:ascii="仿宋" w:eastAsia="仿宋" w:hAnsi="仿宋" w:cs="Times New Roman" w:hint="eastAsia"/>
          <w:sz w:val="24"/>
          <w:szCs w:val="24"/>
        </w:rPr>
        <w:t>2.35</w:t>
      </w:r>
      <w:r>
        <w:rPr>
          <w:rFonts w:ascii="仿宋" w:eastAsia="仿宋" w:hAnsi="仿宋" w:cs="Times New Roman" w:hint="eastAsia"/>
          <w:sz w:val="24"/>
          <w:szCs w:val="24"/>
        </w:rPr>
        <w:t>千米</w:t>
      </w:r>
      <w:r>
        <w:rPr>
          <w:rFonts w:ascii="仿宋" w:eastAsia="仿宋" w:hAnsi="仿宋" w:cs="Times New Roman" w:hint="eastAsia"/>
          <w:sz w:val="24"/>
          <w:szCs w:val="24"/>
        </w:rPr>
        <w:t>/</w:t>
      </w:r>
      <w:r>
        <w:rPr>
          <w:rFonts w:ascii="仿宋" w:eastAsia="仿宋" w:hAnsi="仿宋" w:cs="Times New Roman" w:hint="eastAsia"/>
          <w:sz w:val="24"/>
          <w:szCs w:val="24"/>
        </w:rPr>
        <w:t>平方公里，道路断面形式以一块板为主。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城市支路</w:t>
      </w:r>
      <w:r>
        <w:rPr>
          <w:rFonts w:ascii="仿宋" w:eastAsia="仿宋" w:hAnsi="仿宋" w:cs="Times New Roman" w:hint="eastAsia"/>
          <w:sz w:val="24"/>
          <w:szCs w:val="24"/>
        </w:rPr>
        <w:t>：</w:t>
      </w:r>
      <w:r>
        <w:rPr>
          <w:rFonts w:ascii="仿宋" w:eastAsia="仿宋" w:hAnsi="仿宋" w:cs="Times New Roman" w:hint="eastAsia"/>
          <w:sz w:val="24"/>
          <w:szCs w:val="24"/>
        </w:rPr>
        <w:t>括东山西路、东兴路二巷和其他支路。支路红线宽度</w:t>
      </w:r>
      <w:r>
        <w:rPr>
          <w:rFonts w:ascii="仿宋" w:eastAsia="仿宋" w:hAnsi="仿宋" w:cs="Times New Roman" w:hint="eastAsia"/>
          <w:sz w:val="24"/>
          <w:szCs w:val="24"/>
        </w:rPr>
        <w:t>12-14</w:t>
      </w:r>
      <w:r>
        <w:rPr>
          <w:rFonts w:ascii="仿宋" w:eastAsia="仿宋" w:hAnsi="仿宋" w:cs="Times New Roman" w:hint="eastAsia"/>
          <w:sz w:val="24"/>
          <w:szCs w:val="24"/>
        </w:rPr>
        <w:t>米，路网密度为</w:t>
      </w:r>
      <w:r>
        <w:rPr>
          <w:rFonts w:ascii="仿宋" w:eastAsia="仿宋" w:hAnsi="仿宋" w:cs="Times New Roman" w:hint="eastAsia"/>
          <w:sz w:val="24"/>
          <w:szCs w:val="24"/>
        </w:rPr>
        <w:t>6.36</w:t>
      </w:r>
      <w:r>
        <w:rPr>
          <w:rFonts w:ascii="仿宋" w:eastAsia="仿宋" w:hAnsi="仿宋" w:cs="Times New Roman" w:hint="eastAsia"/>
          <w:sz w:val="24"/>
          <w:szCs w:val="24"/>
        </w:rPr>
        <w:t>千米</w:t>
      </w:r>
      <w:r>
        <w:rPr>
          <w:rFonts w:ascii="仿宋" w:eastAsia="仿宋" w:hAnsi="仿宋" w:cs="Times New Roman" w:hint="eastAsia"/>
          <w:sz w:val="24"/>
          <w:szCs w:val="24"/>
        </w:rPr>
        <w:t>/</w:t>
      </w:r>
      <w:r>
        <w:rPr>
          <w:rFonts w:ascii="仿宋" w:eastAsia="仿宋" w:hAnsi="仿宋" w:cs="Times New Roman" w:hint="eastAsia"/>
          <w:sz w:val="24"/>
          <w:szCs w:val="24"/>
        </w:rPr>
        <w:t>平方公里，道路断面形式以一块板为主。</w:t>
      </w:r>
    </w:p>
    <w:p w:rsidR="00E70CC4" w:rsidRDefault="00DC0720">
      <w:pPr>
        <w:spacing w:line="360" w:lineRule="auto"/>
        <w:jc w:val="center"/>
        <w:rPr>
          <w:rFonts w:ascii="仿宋" w:eastAsia="仿宋" w:hAnsi="仿宋" w:cs="Times New Roman"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>
            <wp:extent cx="4166235" cy="5430520"/>
            <wp:effectExtent l="9525" t="9525" r="15240" b="27305"/>
            <wp:docPr id="4" name="图片 4" descr="11-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-综合交通规划图"/>
                    <pic:cNvPicPr>
                      <a:picLocks noChangeAspect="1"/>
                    </pic:cNvPicPr>
                  </pic:nvPicPr>
                  <pic:blipFill>
                    <a:blip r:embed="rId10"/>
                    <a:srcRect l="2467" t="7558" r="2467" b="4308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5430520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0CC4" w:rsidRDefault="00DC0720">
      <w:pPr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 xml:space="preserve">4 </w:t>
      </w:r>
      <w:r>
        <w:rPr>
          <w:rFonts w:ascii="仿宋" w:eastAsia="仿宋" w:hAnsi="仿宋" w:hint="eastAsia"/>
          <w:sz w:val="28"/>
          <w:szCs w:val="28"/>
        </w:rPr>
        <w:t>道路交通规划图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七、公共服务设施规划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围绕文化宜居片区的总体目标，以社区生活圈为单元，构建体系完善、布局合理、设施齐全的公共服务体系，提升片区的服务水平。。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规划高等院校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 w:hint="eastAsia"/>
          <w:sz w:val="24"/>
          <w:szCs w:val="24"/>
        </w:rPr>
        <w:t>所，为丰顺电视大学，面积为</w:t>
      </w:r>
      <w:r>
        <w:rPr>
          <w:rFonts w:ascii="仿宋" w:eastAsia="仿宋" w:hAnsi="仿宋" w:cs="Times New Roman" w:hint="eastAsia"/>
          <w:sz w:val="24"/>
          <w:szCs w:val="24"/>
        </w:rPr>
        <w:t xml:space="preserve">2.59 </w:t>
      </w:r>
      <w:r>
        <w:rPr>
          <w:rFonts w:ascii="仿宋" w:eastAsia="仿宋" w:hAnsi="仿宋" w:cs="Times New Roman" w:hint="eastAsia"/>
          <w:sz w:val="24"/>
          <w:szCs w:val="24"/>
        </w:rPr>
        <w:t>公顷</w:t>
      </w:r>
      <w:r>
        <w:rPr>
          <w:rFonts w:ascii="仿宋" w:eastAsia="仿宋" w:hAnsi="仿宋" w:cs="Times New Roman" w:hint="eastAsia"/>
          <w:sz w:val="24"/>
          <w:szCs w:val="24"/>
        </w:rPr>
        <w:t>；规划中学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 w:hint="eastAsia"/>
          <w:sz w:val="24"/>
          <w:szCs w:val="24"/>
        </w:rPr>
        <w:t>所，</w:t>
      </w:r>
      <w:r>
        <w:rPr>
          <w:rFonts w:ascii="仿宋" w:eastAsia="仿宋" w:hAnsi="仿宋" w:cs="Times New Roman" w:hint="eastAsia"/>
          <w:sz w:val="24"/>
          <w:szCs w:val="24"/>
        </w:rPr>
        <w:lastRenderedPageBreak/>
        <w:t>为东海中学，面积为</w:t>
      </w:r>
      <w:r>
        <w:rPr>
          <w:rFonts w:ascii="仿宋" w:eastAsia="仿宋" w:hAnsi="仿宋" w:cs="Times New Roman" w:hint="eastAsia"/>
          <w:sz w:val="24"/>
          <w:szCs w:val="24"/>
        </w:rPr>
        <w:t xml:space="preserve">5.47 </w:t>
      </w:r>
      <w:r>
        <w:rPr>
          <w:rFonts w:ascii="仿宋" w:eastAsia="仿宋" w:hAnsi="仿宋" w:cs="Times New Roman" w:hint="eastAsia"/>
          <w:sz w:val="24"/>
          <w:szCs w:val="24"/>
        </w:rPr>
        <w:t>公顷；规划小学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 w:hint="eastAsia"/>
          <w:sz w:val="24"/>
          <w:szCs w:val="24"/>
        </w:rPr>
        <w:t>所，位于规划区南部，为</w:t>
      </w:r>
      <w:r>
        <w:rPr>
          <w:rFonts w:ascii="仿宋" w:eastAsia="仿宋" w:hAnsi="仿宋" w:cs="Times New Roman" w:hint="eastAsia"/>
          <w:sz w:val="24"/>
          <w:szCs w:val="24"/>
        </w:rPr>
        <w:t>24</w:t>
      </w:r>
      <w:r>
        <w:rPr>
          <w:rFonts w:ascii="仿宋" w:eastAsia="仿宋" w:hAnsi="仿宋" w:cs="Times New Roman" w:hint="eastAsia"/>
          <w:sz w:val="24"/>
          <w:szCs w:val="24"/>
        </w:rPr>
        <w:t>班的小学，面积为</w:t>
      </w:r>
      <w:r>
        <w:rPr>
          <w:rFonts w:ascii="仿宋" w:eastAsia="仿宋" w:hAnsi="仿宋" w:cs="Times New Roman" w:hint="eastAsia"/>
          <w:sz w:val="24"/>
          <w:szCs w:val="24"/>
        </w:rPr>
        <w:t>1.23</w:t>
      </w:r>
      <w:r>
        <w:rPr>
          <w:rFonts w:ascii="仿宋" w:eastAsia="仿宋" w:hAnsi="仿宋" w:cs="Times New Roman" w:hint="eastAsia"/>
          <w:sz w:val="24"/>
          <w:szCs w:val="24"/>
        </w:rPr>
        <w:t>公顷；规划幼儿园</w:t>
      </w:r>
      <w:r>
        <w:rPr>
          <w:rFonts w:ascii="仿宋" w:eastAsia="仿宋" w:hAnsi="仿宋" w:cs="Times New Roman" w:hint="eastAsia"/>
          <w:sz w:val="24"/>
          <w:szCs w:val="24"/>
        </w:rPr>
        <w:t>2</w:t>
      </w:r>
      <w:r>
        <w:rPr>
          <w:rFonts w:ascii="仿宋" w:eastAsia="仿宋" w:hAnsi="仿宋" w:cs="Times New Roman" w:hint="eastAsia"/>
          <w:sz w:val="24"/>
          <w:szCs w:val="24"/>
        </w:rPr>
        <w:t>所；规划文化设施用地面积</w:t>
      </w:r>
      <w:r>
        <w:rPr>
          <w:rFonts w:ascii="仿宋" w:eastAsia="仿宋" w:hAnsi="仿宋" w:cs="Times New Roman" w:hint="eastAsia"/>
          <w:sz w:val="24"/>
          <w:szCs w:val="24"/>
        </w:rPr>
        <w:t>0.11</w:t>
      </w:r>
      <w:r>
        <w:rPr>
          <w:rFonts w:ascii="仿宋" w:eastAsia="仿宋" w:hAnsi="仿宋" w:cs="Times New Roman" w:hint="eastAsia"/>
          <w:sz w:val="24"/>
          <w:szCs w:val="24"/>
        </w:rPr>
        <w:t>公顷，为图书馆，位于东海中学东侧；规划文物古迹用地面积</w:t>
      </w:r>
      <w:r>
        <w:rPr>
          <w:rFonts w:ascii="仿宋" w:eastAsia="仿宋" w:hAnsi="仿宋" w:cs="Times New Roman" w:hint="eastAsia"/>
          <w:sz w:val="24"/>
          <w:szCs w:val="24"/>
        </w:rPr>
        <w:t>0.09</w:t>
      </w:r>
      <w:r>
        <w:rPr>
          <w:rFonts w:ascii="仿宋" w:eastAsia="仿宋" w:hAnsi="仿宋" w:cs="Times New Roman" w:hint="eastAsia"/>
          <w:sz w:val="24"/>
          <w:szCs w:val="24"/>
        </w:rPr>
        <w:t>公顷，为文昌阁，位于东海中学东侧。</w:t>
      </w:r>
    </w:p>
    <w:p w:rsidR="00E70CC4" w:rsidRDefault="00E70CC4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按照《城市居住区规划设计标准》（</w:t>
      </w:r>
      <w:r>
        <w:rPr>
          <w:rFonts w:ascii="仿宋" w:eastAsia="仿宋" w:hAnsi="仿宋" w:cs="Times New Roman" w:hint="eastAsia"/>
          <w:sz w:val="24"/>
          <w:szCs w:val="24"/>
        </w:rPr>
        <w:t>GB 50180-2018</w:t>
      </w:r>
      <w:r>
        <w:rPr>
          <w:rFonts w:ascii="仿宋" w:eastAsia="仿宋" w:hAnsi="仿宋" w:cs="Times New Roman" w:hint="eastAsia"/>
          <w:sz w:val="24"/>
          <w:szCs w:val="24"/>
        </w:rPr>
        <w:t>）中关于五分钟生活圈</w:t>
      </w:r>
      <w:r>
        <w:rPr>
          <w:rFonts w:ascii="仿宋" w:eastAsia="仿宋" w:hAnsi="仿宋" w:cs="Times New Roman" w:hint="eastAsia"/>
          <w:sz w:val="24"/>
          <w:szCs w:val="24"/>
        </w:rPr>
        <w:t>的要求，规划区</w:t>
      </w:r>
      <w:r>
        <w:rPr>
          <w:rFonts w:ascii="仿宋" w:eastAsia="仿宋" w:hAnsi="仿宋" w:cs="Times New Roman"/>
          <w:sz w:val="24"/>
          <w:szCs w:val="24"/>
        </w:rPr>
        <w:t>内共形成</w:t>
      </w:r>
      <w:r>
        <w:rPr>
          <w:rFonts w:ascii="仿宋" w:eastAsia="仿宋" w:hAnsi="仿宋" w:cs="Times New Roman"/>
          <w:sz w:val="24"/>
          <w:szCs w:val="24"/>
        </w:rPr>
        <w:t>2</w:t>
      </w:r>
      <w:r>
        <w:rPr>
          <w:rFonts w:ascii="仿宋" w:eastAsia="仿宋" w:hAnsi="仿宋" w:cs="Times New Roman" w:hint="eastAsia"/>
          <w:sz w:val="24"/>
          <w:szCs w:val="24"/>
        </w:rPr>
        <w:t>个</w:t>
      </w:r>
      <w:r>
        <w:rPr>
          <w:rFonts w:ascii="仿宋" w:eastAsia="仿宋" w:hAnsi="仿宋" w:cs="Times New Roman"/>
          <w:sz w:val="24"/>
          <w:szCs w:val="24"/>
        </w:rPr>
        <w:t>五分钟生活圈，</w:t>
      </w:r>
      <w:bookmarkStart w:id="1" w:name="_Hlk24881206"/>
      <w:r>
        <w:rPr>
          <w:rFonts w:ascii="仿宋" w:eastAsia="仿宋" w:hAnsi="仿宋" w:cs="Times New Roman" w:hint="eastAsia"/>
          <w:sz w:val="24"/>
          <w:szCs w:val="24"/>
        </w:rPr>
        <w:t>完善幼儿园、社区卫生站、社区服务站、文化室、居民健身场所、社区居委会、托老所等社区级公共服务设施，</w:t>
      </w:r>
      <w:bookmarkEnd w:id="1"/>
      <w:r>
        <w:rPr>
          <w:rFonts w:ascii="仿宋" w:eastAsia="仿宋" w:hAnsi="仿宋" w:cs="Times New Roman" w:hint="eastAsia"/>
          <w:sz w:val="24"/>
          <w:szCs w:val="24"/>
        </w:rPr>
        <w:t>相关设施在住区建设中统筹建设，不单独进行用地控制。</w:t>
      </w:r>
    </w:p>
    <w:p w:rsidR="00E70CC4" w:rsidRDefault="00DC0720">
      <w:pPr>
        <w:spacing w:line="360" w:lineRule="auto"/>
        <w:jc w:val="center"/>
        <w:rPr>
          <w:rFonts w:ascii="仿宋" w:eastAsia="仿宋" w:hAnsi="仿宋" w:cs="Times New Roman"/>
          <w:sz w:val="24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114300" distR="114300">
            <wp:extent cx="4254500" cy="4438015"/>
            <wp:effectExtent l="9525" t="9525" r="22225" b="10160"/>
            <wp:docPr id="5" name="图片 5" descr="12-公共服务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-公共服务设施规划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43801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0CC4" w:rsidRDefault="00DC0720">
      <w:pPr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 xml:space="preserve">5 </w:t>
      </w:r>
      <w:r>
        <w:rPr>
          <w:rFonts w:ascii="仿宋" w:eastAsia="仿宋" w:hAnsi="仿宋" w:hint="eastAsia"/>
          <w:sz w:val="28"/>
          <w:szCs w:val="28"/>
        </w:rPr>
        <w:t>公共服务设施规划图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八、绿地系统规划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合理规划布局各类绿地，全面提升环境质量，塑造生态景观风貌，创造人与</w:t>
      </w:r>
      <w:r>
        <w:rPr>
          <w:rFonts w:ascii="仿宋" w:eastAsia="仿宋" w:hAnsi="仿宋" w:cs="Times New Roman" w:hint="eastAsia"/>
          <w:sz w:val="24"/>
          <w:szCs w:val="24"/>
        </w:rPr>
        <w:lastRenderedPageBreak/>
        <w:t>自然和谐共生的城市人居环境。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规划区内绿地与广场用地总面积为</w:t>
      </w:r>
      <w:r>
        <w:rPr>
          <w:rFonts w:ascii="仿宋" w:eastAsia="仿宋" w:hAnsi="仿宋" w:cs="Times New Roman" w:hint="eastAsia"/>
          <w:sz w:val="24"/>
          <w:szCs w:val="24"/>
        </w:rPr>
        <w:t>9.24</w:t>
      </w:r>
      <w:r>
        <w:rPr>
          <w:rFonts w:ascii="仿宋" w:eastAsia="仿宋" w:hAnsi="仿宋" w:cs="Times New Roman" w:hint="eastAsia"/>
          <w:sz w:val="24"/>
          <w:szCs w:val="24"/>
        </w:rPr>
        <w:t>公顷，占城市建设用地</w:t>
      </w:r>
      <w:r>
        <w:rPr>
          <w:rFonts w:ascii="仿宋" w:eastAsia="仿宋" w:hAnsi="仿宋" w:cs="Times New Roman"/>
          <w:sz w:val="24"/>
          <w:szCs w:val="24"/>
        </w:rPr>
        <w:t>1</w:t>
      </w:r>
      <w:r>
        <w:rPr>
          <w:rFonts w:ascii="仿宋" w:eastAsia="仿宋" w:hAnsi="仿宋" w:cs="Times New Roman" w:hint="eastAsia"/>
          <w:sz w:val="24"/>
          <w:szCs w:val="24"/>
        </w:rPr>
        <w:t>3.45</w:t>
      </w:r>
      <w:r>
        <w:rPr>
          <w:rFonts w:ascii="仿宋" w:eastAsia="仿宋" w:hAnsi="仿宋" w:cs="Times New Roman" w:hint="eastAsia"/>
          <w:sz w:val="24"/>
          <w:szCs w:val="24"/>
        </w:rPr>
        <w:t>%</w:t>
      </w:r>
      <w:r>
        <w:rPr>
          <w:rFonts w:ascii="仿宋" w:eastAsia="仿宋" w:hAnsi="仿宋" w:cs="Times New Roman" w:hint="eastAsia"/>
          <w:sz w:val="24"/>
          <w:szCs w:val="24"/>
        </w:rPr>
        <w:t>。其中，公园绿地主要分布于</w:t>
      </w:r>
      <w:r>
        <w:rPr>
          <w:rFonts w:ascii="仿宋" w:eastAsia="仿宋" w:hAnsi="仿宋" w:cs="Times New Roman" w:hint="eastAsia"/>
          <w:sz w:val="24"/>
          <w:szCs w:val="24"/>
        </w:rPr>
        <w:t>文庙山公园和河道带状游园</w:t>
      </w:r>
      <w:r>
        <w:rPr>
          <w:rFonts w:ascii="仿宋" w:eastAsia="仿宋" w:hAnsi="仿宋" w:cs="Times New Roman" w:hint="eastAsia"/>
          <w:sz w:val="24"/>
          <w:szCs w:val="24"/>
        </w:rPr>
        <w:t>，占地面积</w:t>
      </w:r>
      <w:r>
        <w:rPr>
          <w:rFonts w:ascii="仿宋" w:eastAsia="仿宋" w:hAnsi="仿宋" w:cs="Times New Roman" w:hint="eastAsia"/>
          <w:sz w:val="24"/>
          <w:szCs w:val="24"/>
        </w:rPr>
        <w:t>5.38</w:t>
      </w:r>
      <w:r>
        <w:rPr>
          <w:rFonts w:ascii="仿宋" w:eastAsia="仿宋" w:hAnsi="仿宋" w:cs="Times New Roman" w:hint="eastAsia"/>
          <w:sz w:val="24"/>
          <w:szCs w:val="24"/>
        </w:rPr>
        <w:t>公顷，防护绿地主要分布于广梅汕铁路东侧，占地面积</w:t>
      </w:r>
      <w:r>
        <w:rPr>
          <w:rFonts w:ascii="仿宋" w:eastAsia="仿宋" w:hAnsi="仿宋" w:cs="Times New Roman" w:hint="eastAsia"/>
          <w:sz w:val="24"/>
          <w:szCs w:val="24"/>
        </w:rPr>
        <w:t xml:space="preserve"> </w:t>
      </w:r>
      <w:r>
        <w:rPr>
          <w:rFonts w:ascii="仿宋" w:eastAsia="仿宋" w:hAnsi="仿宋" w:cs="Times New Roman" w:hint="eastAsia"/>
          <w:sz w:val="24"/>
          <w:szCs w:val="24"/>
        </w:rPr>
        <w:t>3.86</w:t>
      </w:r>
      <w:r>
        <w:rPr>
          <w:rFonts w:ascii="仿宋" w:eastAsia="仿宋" w:hAnsi="仿宋" w:cs="Times New Roman" w:hint="eastAsia"/>
          <w:sz w:val="24"/>
          <w:szCs w:val="24"/>
        </w:rPr>
        <w:t>公顷。</w:t>
      </w:r>
    </w:p>
    <w:p w:rsidR="00E70CC4" w:rsidRDefault="00DC0720">
      <w:pPr>
        <w:spacing w:line="360" w:lineRule="auto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4073525" cy="4276725"/>
            <wp:effectExtent l="9525" t="9525" r="12700" b="19050"/>
            <wp:docPr id="7" name="图片 7" descr="13-绿地系统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-绿地系统规划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427672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0CC4" w:rsidRDefault="00DC0720">
      <w:pPr>
        <w:spacing w:line="360" w:lineRule="auto"/>
        <w:ind w:firstLineChars="200" w:firstLine="560"/>
        <w:jc w:val="center"/>
        <w:rPr>
          <w:szCs w:val="21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绿地系统</w:t>
      </w:r>
      <w:r>
        <w:rPr>
          <w:rFonts w:ascii="仿宋" w:eastAsia="仿宋" w:hAnsi="仿宋" w:hint="eastAsia"/>
          <w:sz w:val="28"/>
          <w:szCs w:val="28"/>
        </w:rPr>
        <w:t>规划图</w:t>
      </w:r>
    </w:p>
    <w:p w:rsidR="00E70CC4" w:rsidRDefault="00DC0720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九、市政工程系统规划</w:t>
      </w:r>
    </w:p>
    <w:p w:rsidR="00E70CC4" w:rsidRDefault="00DC0720">
      <w:pPr>
        <w:spacing w:line="360" w:lineRule="auto"/>
        <w:ind w:firstLineChars="200" w:firstLine="482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rFonts w:ascii="仿宋" w:eastAsia="仿宋" w:hAnsi="仿宋" w:cs="Times New Roman" w:hint="eastAsia"/>
          <w:b/>
          <w:bCs/>
          <w:sz w:val="24"/>
          <w:szCs w:val="24"/>
        </w:rPr>
        <w:t>（一）竖向工程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按照满足使用要求，节省土方和减少防护工程的原则，新建道路填挖高度和深度都不宜太大，并且须与现状道路、桥梁的竖向充分衔接。规划大部分道路坡度控制在</w:t>
      </w:r>
      <w:r>
        <w:rPr>
          <w:rFonts w:ascii="仿宋" w:eastAsia="仿宋" w:hAnsi="仿宋" w:cs="Times New Roman" w:hint="eastAsia"/>
          <w:sz w:val="24"/>
          <w:szCs w:val="24"/>
        </w:rPr>
        <w:t>2%</w:t>
      </w:r>
      <w:r>
        <w:rPr>
          <w:rFonts w:ascii="仿宋" w:eastAsia="仿宋" w:hAnsi="仿宋" w:cs="Times New Roman" w:hint="eastAsia"/>
          <w:sz w:val="24"/>
          <w:szCs w:val="24"/>
        </w:rPr>
        <w:t>以内。道路的坡向应尽量与雨水排水方向一致，以便于管道的敷设，减少管道的埋深。</w:t>
      </w:r>
    </w:p>
    <w:p w:rsidR="00E70CC4" w:rsidRDefault="00DC0720">
      <w:pPr>
        <w:spacing w:line="360" w:lineRule="auto"/>
        <w:ind w:firstLineChars="200" w:firstLine="482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rFonts w:ascii="仿宋" w:eastAsia="仿宋" w:hAnsi="仿宋" w:cs="Times New Roman" w:hint="eastAsia"/>
          <w:b/>
          <w:bCs/>
          <w:sz w:val="24"/>
          <w:szCs w:val="24"/>
        </w:rPr>
        <w:t>（二）市政设施规划</w:t>
      </w:r>
    </w:p>
    <w:p w:rsidR="00E70CC4" w:rsidRDefault="00DC0720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规划</w:t>
      </w:r>
      <w:r>
        <w:rPr>
          <w:rFonts w:ascii="仿宋" w:eastAsia="仿宋" w:hAnsi="仿宋" w:cs="Times New Roman" w:hint="eastAsia"/>
          <w:sz w:val="24"/>
          <w:szCs w:val="24"/>
        </w:rPr>
        <w:t>保留现状丰顺水厂以及现状</w:t>
      </w:r>
      <w:r>
        <w:rPr>
          <w:rFonts w:ascii="仿宋" w:eastAsia="仿宋" w:hAnsi="仿宋" w:cs="Times New Roman" w:hint="eastAsia"/>
          <w:sz w:val="24"/>
          <w:szCs w:val="24"/>
        </w:rPr>
        <w:t>应急供水泵站</w:t>
      </w:r>
      <w:r>
        <w:rPr>
          <w:rFonts w:ascii="仿宋" w:eastAsia="仿宋" w:hAnsi="仿宋" w:cs="Times New Roman" w:hint="eastAsia"/>
          <w:sz w:val="24"/>
          <w:szCs w:val="24"/>
        </w:rPr>
        <w:t>。</w:t>
      </w:r>
    </w:p>
    <w:sectPr w:rsidR="00E70CC4" w:rsidSect="00E70C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720" w:rsidRDefault="00DC0720" w:rsidP="0009331F">
      <w:r>
        <w:separator/>
      </w:r>
    </w:p>
  </w:endnote>
  <w:endnote w:type="continuationSeparator" w:id="1">
    <w:p w:rsidR="00DC0720" w:rsidRDefault="00DC0720" w:rsidP="00093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720" w:rsidRDefault="00DC0720" w:rsidP="0009331F">
      <w:r>
        <w:separator/>
      </w:r>
    </w:p>
  </w:footnote>
  <w:footnote w:type="continuationSeparator" w:id="1">
    <w:p w:rsidR="00DC0720" w:rsidRDefault="00DC0720" w:rsidP="000933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2F54"/>
    <w:rsid w:val="000073FD"/>
    <w:rsid w:val="0009331F"/>
    <w:rsid w:val="0009462E"/>
    <w:rsid w:val="000B3F32"/>
    <w:rsid w:val="000C759D"/>
    <w:rsid w:val="00132AEE"/>
    <w:rsid w:val="002031DA"/>
    <w:rsid w:val="0030142A"/>
    <w:rsid w:val="00497BD0"/>
    <w:rsid w:val="004F01DE"/>
    <w:rsid w:val="005F3024"/>
    <w:rsid w:val="006B06F4"/>
    <w:rsid w:val="006B4A45"/>
    <w:rsid w:val="00720654"/>
    <w:rsid w:val="007D36E9"/>
    <w:rsid w:val="00806339"/>
    <w:rsid w:val="008F1277"/>
    <w:rsid w:val="00952161"/>
    <w:rsid w:val="009559D3"/>
    <w:rsid w:val="00981998"/>
    <w:rsid w:val="00981A8B"/>
    <w:rsid w:val="009D20E3"/>
    <w:rsid w:val="00A914DD"/>
    <w:rsid w:val="00A96E50"/>
    <w:rsid w:val="00AB4763"/>
    <w:rsid w:val="00B52F54"/>
    <w:rsid w:val="00B96C5E"/>
    <w:rsid w:val="00BB18AE"/>
    <w:rsid w:val="00C92A15"/>
    <w:rsid w:val="00CB0F49"/>
    <w:rsid w:val="00CE3199"/>
    <w:rsid w:val="00CF2C84"/>
    <w:rsid w:val="00D92B59"/>
    <w:rsid w:val="00DC0720"/>
    <w:rsid w:val="00E57492"/>
    <w:rsid w:val="00E70CC4"/>
    <w:rsid w:val="00E95EF4"/>
    <w:rsid w:val="00EF65C9"/>
    <w:rsid w:val="00F43682"/>
    <w:rsid w:val="0759609B"/>
    <w:rsid w:val="0EB827B5"/>
    <w:rsid w:val="15045EC8"/>
    <w:rsid w:val="1B9A3CD7"/>
    <w:rsid w:val="3E767F89"/>
    <w:rsid w:val="40213603"/>
    <w:rsid w:val="42301F23"/>
    <w:rsid w:val="4C173C24"/>
    <w:rsid w:val="4E921BF3"/>
    <w:rsid w:val="510164F4"/>
    <w:rsid w:val="531C58EA"/>
    <w:rsid w:val="54E02C4C"/>
    <w:rsid w:val="5A6679B4"/>
    <w:rsid w:val="5B53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CC4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70CC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E70C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70C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E70CC4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-11">
    <w:name w:val="彩色列表 - 强调文字颜色 11"/>
    <w:basedOn w:val="a"/>
    <w:uiPriority w:val="34"/>
    <w:qFormat/>
    <w:rsid w:val="00E70CC4"/>
    <w:pPr>
      <w:spacing w:line="360" w:lineRule="auto"/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1">
    <w:name w:val="列出段落1"/>
    <w:basedOn w:val="a"/>
    <w:uiPriority w:val="34"/>
    <w:qFormat/>
    <w:rsid w:val="00E70CC4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sid w:val="00E70CC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70CC4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33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331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318</Words>
  <Characters>1814</Characters>
  <Application>Microsoft Office Word</Application>
  <DocSecurity>0</DocSecurity>
  <Lines>15</Lines>
  <Paragraphs>4</Paragraphs>
  <ScaleCrop>false</ScaleCrop>
  <Company>微软中国</Company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杨晓亮</dc:creator>
  <cp:lastModifiedBy>微软用户</cp:lastModifiedBy>
  <cp:revision>30</cp:revision>
  <dcterms:created xsi:type="dcterms:W3CDTF">2020-11-10T06:13:00Z</dcterms:created>
  <dcterms:modified xsi:type="dcterms:W3CDTF">2020-12-18T07:03:00Z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