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441423-2026-00374</w:t>
      </w:r>
    </w:p>
    <w:p>
      <w:pPr>
        <w:pStyle w:val="null3"/>
        <w:jc w:val="center"/>
        <w:outlineLvl w:val="3"/>
      </w:pPr>
      <w:r>
        <w:rPr>
          <w:sz w:val="24"/>
          <w:b/>
        </w:rPr>
        <w:t>采购项目编号：</w:t>
      </w:r>
      <w:r>
        <w:rPr>
          <w:sz w:val="24"/>
          <w:b/>
        </w:rPr>
        <w:t>441423-2026-00374</w:t>
      </w:r>
    </w:p>
    <w:p>
      <w:pPr>
        <w:pStyle w:val="null3"/>
        <w:jc w:val="center"/>
        <w:outlineLvl w:val="3"/>
      </w:pPr>
      <w:r>
        <w:rPr>
          <w:sz w:val="24"/>
          <w:b/>
        </w:rPr>
        <w:t>项目名称：</w:t>
      </w:r>
      <w:r>
        <w:rPr>
          <w:sz w:val="24"/>
          <w:b/>
        </w:rPr>
        <w:t>科技路口和丰达路口建设交通信号灯项目</w:t>
      </w:r>
    </w:p>
    <w:p>
      <w:pPr>
        <w:pStyle w:val="null3"/>
        <w:jc w:val="center"/>
        <w:outlineLvl w:val="3"/>
      </w:pPr>
      <w:r>
        <w:rPr>
          <w:sz w:val="24"/>
          <w:b/>
        </w:rPr>
        <w:t>采购人：</w:t>
      </w:r>
      <w:r>
        <w:rPr>
          <w:sz w:val="24"/>
          <w:b/>
        </w:rPr>
        <w:t>丰顺县公安局</w:t>
      </w:r>
    </w:p>
    <w:p>
      <w:pPr>
        <w:pStyle w:val="null3"/>
        <w:jc w:val="center"/>
        <w:outlineLvl w:val="3"/>
      </w:pPr>
      <w:r>
        <w:rPr>
          <w:sz w:val="24"/>
          <w:b/>
        </w:rPr>
        <w:t>采购代理机构：</w:t>
      </w:r>
      <w:r>
        <w:rPr>
          <w:sz w:val="24"/>
          <w:b/>
        </w:rPr>
        <w:t>广东康嘉阳实业有限公司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广东康嘉阳实业有限公司</w:t>
      </w:r>
      <w:r>
        <w:rPr/>
        <w:t>受</w:t>
      </w:r>
      <w:r>
        <w:rPr/>
        <w:t>丰顺县公安局</w:t>
      </w:r>
      <w:r>
        <w:rPr/>
        <w:t>的委托，采用</w:t>
      </w:r>
      <w:r>
        <w:rPr/>
        <w:t>公开招标</w:t>
      </w:r>
      <w:r>
        <w:rPr/>
        <w:t>方式组织采购</w:t>
      </w:r>
      <w:r>
        <w:rPr/>
        <w:t>科技路口和丰达路口建设交通信号灯项目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科技路口和丰达路口建设交通信号灯项目</w:t>
      </w:r>
    </w:p>
    <w:p>
      <w:pPr>
        <w:pStyle w:val="null3"/>
        <w:ind w:firstLine="480"/>
      </w:pPr>
      <w:r>
        <w:rPr/>
        <w:t>采购计划编号：</w:t>
      </w:r>
      <w:r>
        <w:rPr/>
        <w:t>441423-2026-00374</w:t>
      </w:r>
    </w:p>
    <w:p>
      <w:pPr>
        <w:pStyle w:val="null3"/>
        <w:ind w:firstLine="480"/>
      </w:pPr>
      <w:r>
        <w:rPr/>
        <w:t>采购项目编号：</w:t>
      </w:r>
      <w:r>
        <w:rPr/>
        <w:t>441423-2026-00374</w:t>
      </w:r>
    </w:p>
    <w:p>
      <w:pPr>
        <w:pStyle w:val="null3"/>
        <w:ind w:firstLine="480"/>
      </w:pPr>
      <w:r>
        <w:rPr/>
        <w:t>采购方式：</w:t>
      </w:r>
      <w:r>
        <w:rPr/>
        <w:t>公开招标</w:t>
      </w:r>
    </w:p>
    <w:p>
      <w:pPr>
        <w:pStyle w:val="null3"/>
        <w:ind w:firstLine="480"/>
      </w:pPr>
      <w:r>
        <w:rPr/>
        <w:t>预算金额：</w:t>
      </w:r>
      <w:r>
        <w:rPr/>
        <w:t>1,691,988.28</w:t>
      </w:r>
      <w:r>
        <w:rPr/>
        <w:t>元</w:t>
      </w:r>
    </w:p>
    <w:p>
      <w:pPr>
        <w:pStyle w:val="null3"/>
        <w:outlineLvl w:val="3"/>
      </w:pPr>
      <w:r>
        <w:rPr>
          <w:sz w:val="24"/>
          <w:b/>
        </w:rPr>
        <w:t>2.项目内容及需求情况（采购项目技术规格、参数及要求）</w:t>
      </w:r>
    </w:p>
    <w:p>
      <w:pPr>
        <w:pStyle w:val="null3"/>
      </w:pPr>
      <w:r>
        <w:rPr/>
        <w:t>采购包1(科技路口和丰达路口建设交通信号灯项目):</w:t>
      </w:r>
    </w:p>
    <w:p>
      <w:pPr>
        <w:pStyle w:val="null3"/>
      </w:pPr>
      <w:r>
        <w:rPr/>
        <w:t>采购包预算金额：1,691,988.28元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交通管理设备</w:t>
            </w:r>
          </w:p>
        </w:tc>
        <w:tc>
          <w:tcPr>
            <w:tcW w:type="dxa" w:w="2052"/>
          </w:tcPr>
          <w:p>
            <w:pPr>
              <w:pStyle w:val="null3"/>
            </w:pPr>
            <w:r>
              <w:rPr/>
              <w:t>科技路口和丰达路口建设交通信号灯</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1,311,478.40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交通管理设备</w:t>
            </w:r>
          </w:p>
        </w:tc>
        <w:tc>
          <w:tcPr>
            <w:tcW w:type="dxa" w:w="2052"/>
          </w:tcPr>
          <w:p>
            <w:pPr>
              <w:pStyle w:val="null3"/>
            </w:pPr>
            <w:r>
              <w:rPr/>
              <w:t>电子警察主控机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40,544.92</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交通管理设备</w:t>
            </w:r>
          </w:p>
        </w:tc>
        <w:tc>
          <w:tcPr>
            <w:tcW w:type="dxa" w:w="2052"/>
          </w:tcPr>
          <w:p>
            <w:pPr>
              <w:pStyle w:val="null3"/>
            </w:pPr>
            <w:r>
              <w:rPr/>
              <w:t>电子警察（900万像素高清电子警察）</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135,681.06</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交通管理设备</w:t>
            </w:r>
          </w:p>
        </w:tc>
        <w:tc>
          <w:tcPr>
            <w:tcW w:type="dxa" w:w="2052"/>
          </w:tcPr>
          <w:p>
            <w:pPr>
              <w:pStyle w:val="null3"/>
            </w:pPr>
            <w:r>
              <w:rPr/>
              <w:t>闭路电视（400万像素高清一体化IP摄像机）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86,465.52</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交通管理设备</w:t>
            </w:r>
          </w:p>
        </w:tc>
        <w:tc>
          <w:tcPr>
            <w:tcW w:type="dxa" w:w="2052"/>
          </w:tcPr>
          <w:p>
            <w:pPr>
              <w:pStyle w:val="null3"/>
            </w:pPr>
            <w:r>
              <w:rPr/>
              <w:t>交通信号控制机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117,818.38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合同履行期限：自合同签订后180天内完成所有设备的供货、安装、调试和验收并交付给采购人正常使用（逾期无法完工而引起的所有责任，费用均由中标供应商独自承担）。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有效的营业执照（或事业法人登记证或身份证等相关证明）副本扫描件。如分公司或分支机构参与投标的必须具有总公司或上级机构出具的合法授权书（有效范围、有效时间内出具的授权书，多层授权关系证明文件须明晰并加盖相应授权公司公章），并同时提供总公司或上级机构的营业执照扫描件，分公司或分支机构可使用其总公司或上级机构的财务状况、人员信息、公司资质等资料。</w:t>
      </w:r>
    </w:p>
    <w:p>
      <w:pPr>
        <w:pStyle w:val="null3"/>
      </w:pPr>
      <w:r>
        <w:rPr/>
        <w:t>2）有依法缴纳税收和社会保障资金的良好记录：提供《政府采购供应商资格信用承诺函》，《政府采购供应商资格信用承诺函》格式详见招标公告相关附件（注：供应商未按要求提供《政府采购供应商资格信用承诺函》的，应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政府采购供应商资格信用承诺函》，《政府采购供应商资格信用承诺函》格式详见招标公告相关附件（注：供应商未按要求提供《政府采购供应商资格信用承诺函》的，应提供2024年度或2025年度财务审计报告或自本公告发布之日起基本开户行出具的资信证明）。</w:t>
      </w:r>
    </w:p>
    <w:p>
      <w:pPr>
        <w:pStyle w:val="null3"/>
      </w:pPr>
      <w:r>
        <w:rPr/>
        <w:t>4）履行合同所必需的设备和专业技术能力：提供履行合同所必需的设备和专业技术能力的声明函（格式自拟）。</w:t>
      </w:r>
    </w:p>
    <w:p>
      <w:pPr>
        <w:pStyle w:val="null3"/>
      </w:pPr>
      <w:r>
        <w:rPr/>
        <w:t>5）参加采购活动前3年内，在经营活动中没有重大违法记录：提供《政府采购供应商资格信用承诺函》，《政府采购供应商资格信用承诺函》格式详见招标公告相关附件（注：供应商未按要求提供《政府采购供应商资格信用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采购包1（科技路口和丰达路口建设交通信号灯项目）：</w:t>
      </w:r>
      <w:r>
        <w:rPr/>
        <w:t>本项目不属于专门面向中小企业采购。</w:t>
      </w:r>
    </w:p>
    <w:p>
      <w:pPr>
        <w:pStyle w:val="null3"/>
        <w:outlineLvl w:val="3"/>
      </w:pPr>
      <w:r>
        <w:rPr>
          <w:sz w:val="24"/>
          <w:b/>
        </w:rPr>
        <w:t>3.本项目特定的资格要求：</w:t>
      </w:r>
    </w:p>
    <w:p>
      <w:pPr>
        <w:pStyle w:val="null3"/>
      </w:pPr>
      <w:r>
        <w:rPr/>
        <w:t>采购包1（科技路口和丰达路口建设交通信号灯项目）：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丰顺县公安局</w:t>
      </w:r>
    </w:p>
    <w:p>
      <w:pPr>
        <w:pStyle w:val="null3"/>
        <w:ind w:firstLine="480"/>
      </w:pPr>
      <w:r>
        <w:rPr/>
        <w:t xml:space="preserve"> 地址：</w:t>
      </w:r>
      <w:r>
        <w:rPr/>
        <w:t>梅州市丰顺县汤坑镇金湖开发区</w:t>
      </w:r>
    </w:p>
    <w:p>
      <w:pPr>
        <w:pStyle w:val="null3"/>
        <w:ind w:firstLine="480"/>
      </w:pPr>
      <w:r>
        <w:rPr/>
        <w:t xml:space="preserve"> 联系方式：</w:t>
      </w:r>
      <w:r>
        <w:rPr/>
        <w:t>0753-6189029</w:t>
      </w:r>
    </w:p>
    <w:p>
      <w:pPr>
        <w:pStyle w:val="null3"/>
        <w:outlineLvl w:val="3"/>
      </w:pPr>
      <w:r>
        <w:rPr>
          <w:sz w:val="24"/>
          <w:b/>
        </w:rPr>
        <w:t xml:space="preserve"> 2.采购代理机构信息</w:t>
      </w:r>
    </w:p>
    <w:p>
      <w:pPr>
        <w:pStyle w:val="null3"/>
        <w:ind w:firstLine="480"/>
      </w:pPr>
      <w:r>
        <w:rPr/>
        <w:t xml:space="preserve"> 名称：</w:t>
      </w:r>
      <w:r>
        <w:rPr/>
        <w:t>广东康嘉阳实业有限公司</w:t>
      </w:r>
    </w:p>
    <w:p>
      <w:pPr>
        <w:pStyle w:val="null3"/>
        <w:ind w:firstLine="480"/>
      </w:pPr>
      <w:r>
        <w:rPr/>
        <w:t xml:space="preserve"> 地址：</w:t>
      </w:r>
      <w:r>
        <w:rPr/>
        <w:t>梅州市梅江区火车站东侧义乌小商品批发中心A栋1507商业</w:t>
      </w:r>
    </w:p>
    <w:p>
      <w:pPr>
        <w:pStyle w:val="null3"/>
        <w:ind w:firstLine="480"/>
      </w:pPr>
      <w:r>
        <w:rPr/>
        <w:t xml:space="preserve"> 联系方式：</w:t>
      </w:r>
      <w:r>
        <w:rPr/>
        <w:t>13824582059</w:t>
      </w:r>
    </w:p>
    <w:p>
      <w:pPr>
        <w:pStyle w:val="null3"/>
        <w:outlineLvl w:val="3"/>
      </w:pPr>
      <w:r>
        <w:rPr>
          <w:sz w:val="24"/>
          <w:b/>
        </w:rPr>
        <w:t xml:space="preserve"> 3.项目联系方式</w:t>
      </w:r>
    </w:p>
    <w:p>
      <w:pPr>
        <w:pStyle w:val="null3"/>
        <w:ind w:firstLine="480"/>
      </w:pPr>
      <w:r>
        <w:rPr/>
        <w:t xml:space="preserve"> 项目联系人：</w:t>
      </w:r>
      <w:r>
        <w:rPr/>
        <w:t>廖工</w:t>
      </w:r>
    </w:p>
    <w:p>
      <w:pPr>
        <w:pStyle w:val="null3"/>
        <w:ind w:firstLine="480"/>
      </w:pPr>
      <w:r>
        <w:rPr/>
        <w:t xml:space="preserve"> 电话：</w:t>
      </w:r>
      <w:r>
        <w:rPr/>
        <w:t>13824582059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广东康嘉阳实业有限公司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注：</w:t>
      </w:r>
    </w:p>
    <w:p>
      <w:pPr>
        <w:pStyle w:val="null3"/>
      </w:pPr>
      <w:r>
        <w:rPr>
          <w:sz w:val="21"/>
        </w:rPr>
        <w:t>1.</w:t>
      </w:r>
      <w:r>
        <w:rPr>
          <w:sz w:val="21"/>
        </w:rPr>
        <w:t>招标文件中所有涉及品牌及规格型号均为参照品牌及型号，并没有任何限制性。供应商在投标中可以选用替代品牌型号的产品，但这些替代要实质上相当于或优于技术规格、采购清单的要求，并出具有效证明材料。</w:t>
      </w:r>
    </w:p>
    <w:p>
      <w:pPr>
        <w:pStyle w:val="null3"/>
      </w:pPr>
      <w:r>
        <w:rPr>
          <w:sz w:val="21"/>
        </w:rPr>
        <w:t>2.</w:t>
      </w:r>
      <w:r>
        <w:rPr>
          <w:sz w:val="21"/>
        </w:rPr>
        <w:t>项目技术内容及要求中的重量、尺寸、体积、功耗等要求表述为固定数值的，允许±</w:t>
      </w:r>
      <w:r>
        <w:rPr>
          <w:sz w:val="21"/>
        </w:rPr>
        <w:t>1%</w:t>
      </w:r>
      <w:r>
        <w:rPr>
          <w:sz w:val="21"/>
        </w:rPr>
        <w:t>的误差（国家标准、行业标准数值及货物技术要求中特别注明的除外，以最新国家标准、行业标准及其规定数值为准</w:t>
      </w:r>
      <w:r>
        <w:rPr>
          <w:sz w:val="21"/>
        </w:rPr>
        <w:t>)</w:t>
      </w:r>
      <w:r>
        <w:rPr>
          <w:sz w:val="21"/>
        </w:rPr>
        <w:t>。</w:t>
      </w:r>
    </w:p>
    <w:p>
      <w:pPr>
        <w:pStyle w:val="null3"/>
      </w:pPr>
      <w:r>
        <w:rPr>
          <w:sz w:val="21"/>
        </w:rPr>
        <w:t>3.</w:t>
      </w:r>
      <w:r>
        <w:rPr>
          <w:sz w:val="21"/>
        </w:rPr>
        <w:t>本项目不属于专门面向中小企业采购的项目，不适宜由中小企业提供的理由为：无法确保充分供应、充分竞争，且存在可能影响采购目标实现的情形。</w:t>
      </w:r>
    </w:p>
    <w:p>
      <w:pPr>
        <w:pStyle w:val="null3"/>
      </w:pPr>
      <w:r>
        <w:rPr/>
        <w:t>（一）建设目标</w:t>
      </w:r>
    </w:p>
    <w:p>
      <w:pPr>
        <w:pStyle w:val="null3"/>
        <w:ind w:firstLine="420"/>
      </w:pPr>
      <w:r>
        <w:rPr>
          <w:sz w:val="21"/>
        </w:rPr>
        <w:t>科技路口（该路口为</w:t>
      </w:r>
      <w:r>
        <w:rPr>
          <w:sz w:val="21"/>
        </w:rPr>
        <w:t>T字路，南北方向为G235国道，东西方向为科技路），丰达路口（该路口为T字路，南北方向为G235国道，东西方向为丰达路），科技路口和丰达路口同为 G235 国道上的T字路口，平时车辆人员流动量都很大，加上车辆随意调头和行人乱穿马路使交通变的十分拥挤，一到上下班高峰期堵车更加严重，容易发生交通事故，本次项目通过对科技路口和丰达路口建设交通信号灯、电子警察等，目标通过科学配时方案减少拥堵，提高路口通行效率，从而优化交通流量；通过设置交通信号灯、交通电子警察，减少因闯红灯、压线行驶、逆向行驶、不按车道行驶等违法行为而造成的交通事故、堵塞和交通混乱情况；提高机动车驾驶员的自觉性，增强交通安全意识；交通相关设施完善为交通肇事逃逸和涉车案件等违法行为提供侦查线索和处罚证据。</w:t>
      </w:r>
    </w:p>
    <w:p>
      <w:pPr>
        <w:pStyle w:val="null3"/>
      </w:pPr>
      <w:r>
        <w:rPr>
          <w:sz w:val="21"/>
        </w:rPr>
        <w:t xml:space="preserve"> </w:t>
      </w:r>
      <w:r>
        <w:rPr>
          <w:sz w:val="21"/>
        </w:rPr>
        <w:t>（二）建设内容</w:t>
      </w:r>
    </w:p>
    <w:p>
      <w:pPr>
        <w:pStyle w:val="null3"/>
      </w:pPr>
      <w:r>
        <w:rPr>
          <w:sz w:val="21"/>
        </w:rPr>
        <w:t>（</w:t>
      </w:r>
      <w:r>
        <w:rPr>
          <w:sz w:val="21"/>
        </w:rPr>
        <w:t>1）235国道科技路口交通监控及设施完善项目(土建部分)；</w:t>
      </w:r>
    </w:p>
    <w:p>
      <w:pPr>
        <w:pStyle w:val="null3"/>
      </w:pPr>
      <w:r>
        <w:rPr>
          <w:sz w:val="21"/>
        </w:rPr>
        <w:t>（</w:t>
      </w:r>
      <w:r>
        <w:rPr>
          <w:sz w:val="21"/>
        </w:rPr>
        <w:t>2）235国道科技路口交通监控及设施完善项目(设备部分)；</w:t>
      </w:r>
    </w:p>
    <w:p>
      <w:pPr>
        <w:pStyle w:val="null3"/>
      </w:pPr>
      <w:r>
        <w:rPr>
          <w:sz w:val="21"/>
        </w:rPr>
        <w:t>（</w:t>
      </w:r>
      <w:r>
        <w:rPr>
          <w:sz w:val="21"/>
        </w:rPr>
        <w:t>3）235国道丰达路口交通监控及设施完善项目(土建部分)；</w:t>
      </w:r>
    </w:p>
    <w:p>
      <w:pPr>
        <w:pStyle w:val="null3"/>
      </w:pPr>
      <w:r>
        <w:rPr>
          <w:sz w:val="21"/>
        </w:rPr>
        <w:t>（</w:t>
      </w:r>
      <w:r>
        <w:rPr>
          <w:sz w:val="21"/>
        </w:rPr>
        <w:t>4）235国道丰达路口交通监控及设施完善项目(设备部分)。</w:t>
      </w:r>
    </w:p>
    <w:p>
      <w:pPr>
        <w:pStyle w:val="null3"/>
      </w:pPr>
      <w:r>
        <w:rPr>
          <w:sz w:val="21"/>
        </w:rPr>
        <w:t>（</w:t>
      </w:r>
      <w:r>
        <w:rPr>
          <w:sz w:val="21"/>
        </w:rPr>
        <w:t>三）建设规模</w:t>
      </w:r>
    </w:p>
    <w:p>
      <w:pPr>
        <w:pStyle w:val="null3"/>
        <w:ind w:firstLine="420"/>
      </w:pPr>
      <w:r>
        <w:rPr>
          <w:sz w:val="21"/>
        </w:rPr>
        <w:t>项目位于科技路口和丰达路口，其中科技路口安装交通信号控制机</w:t>
      </w:r>
      <w:r>
        <w:rPr>
          <w:sz w:val="21"/>
        </w:rPr>
        <w:t>1台，人行信号灯具</w:t>
      </w:r>
      <w:r>
        <w:rPr>
          <w:sz w:val="21"/>
        </w:rPr>
        <w:t>4组、机动车信号灯具6组、电子警察3套、电子警察主控机1台，闭路电视球机2套；丰达路口安装交通信号控制机1台，人行信号灯具6组、机动车信号灯具6组、电子警察3套、电子警察主控机1台，闭路电视球机2套等交通监控设备及相关配套交通标线、杆件、</w:t>
      </w:r>
      <w:r>
        <w:rPr>
          <w:sz w:val="21"/>
        </w:rPr>
        <w:t>线缆管道等。</w:t>
      </w:r>
    </w:p>
    <w:p>
      <w:pPr>
        <w:pStyle w:val="null3"/>
      </w:pPr>
      <w:r>
        <w:rPr>
          <w:sz w:val="21"/>
        </w:rPr>
        <w:t>（四）为保障本项目产品质量，供应商应提供质量保证措施方案，方案应包括但不限于内部管理制度、质量控制制度、质量保证方案及措施等。</w:t>
      </w:r>
    </w:p>
    <w:p>
      <w:pPr>
        <w:pStyle w:val="null3"/>
      </w:pPr>
      <w:r>
        <w:rPr/>
        <w:t>（五）供应商应结合项目环境特点，制定应急预案，内容包括但不限于资源调配、供货计划制定、协调、供货跟踪等，确保紧急供货流程快速、顺畅。</w:t>
      </w:r>
    </w:p>
    <w:p>
      <w:pPr>
        <w:pStyle w:val="null3"/>
      </w:pPr>
      <w:r>
        <w:rPr/>
        <w:t>采购包1（科技路口和丰达路口建设交通信号灯项目）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自合同签订后180天内完成所有设备的供货、安装、调试和验收并交付给采购人正常使用（逾期无法完工而引起的所有责任，费用均由中标供应商独自承担）。</w:t>
            </w:r>
          </w:p>
        </w:tc>
      </w:tr>
      <w:tr>
        <w:tc>
          <w:tcPr>
            <w:tcW w:type="dxa" w:w="4153"/>
          </w:tcPr>
          <w:p>
            <w:pPr>
              <w:pStyle w:val="null3"/>
            </w:pPr>
            <w:r>
              <w:rPr/>
              <w:t>标的提供的地点</w:t>
            </w:r>
          </w:p>
        </w:tc>
        <w:tc>
          <w:tcPr>
            <w:tcW w:type="dxa" w:w="4153"/>
          </w:tcPr>
          <w:p>
            <w:pPr>
              <w:pStyle w:val="null3"/>
            </w:pPr>
            <w:r>
              <w:rPr/>
              <w:t>科技路口和丰达路口。</w:t>
            </w:r>
          </w:p>
        </w:tc>
      </w:tr>
      <w:tr>
        <w:tc>
          <w:tcPr>
            <w:tcW w:type="dxa" w:w="4153"/>
          </w:tcPr>
          <w:p>
            <w:pPr>
              <w:pStyle w:val="null3"/>
            </w:pPr>
            <w:r>
              <w:rPr/>
              <w:t>付款方式</w:t>
            </w:r>
          </w:p>
        </w:tc>
        <w:tc>
          <w:tcPr>
            <w:tcW w:type="dxa" w:w="4153"/>
          </w:tcPr>
          <w:p>
            <w:pPr>
              <w:pStyle w:val="null3"/>
            </w:pPr>
            <w:r>
              <w:rPr/>
              <w:t>1期：支付比例30%,签订合同后15个工作日内采购人向中标供应商支付合同总价的30%。</w:t>
            </w:r>
          </w:p>
          <w:p>
            <w:pPr>
              <w:pStyle w:val="null3"/>
            </w:pPr>
            <w:r>
              <w:rPr/>
              <w:t>2期：支付比例70%,项目完成验收合格并经审核定案后10个工作日内采购人支付至审核金额的100%。 注：1.每笔款项支付时，中标供应商同时向采购人提供相应金额的正式发票；2.付款方式：银行转账支付；3.因采购人使用的是财政资金，本项目的付款时间为采购人向采购支付部门提出支付申请的时间（不含）财政支付部门审查的时间），中标供应商同意本条对付款时间的约定，合同或附件中与本条约定不一致的，以本条约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1期：1.验收方式：由采购人组织的项目验收小组进行验收。 2.验收标准：执行国家现行验收评审标准及行业强制标准，招标文件要求、图纸、工程清单、合同等。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建设要求</w:t>
            </w:r>
          </w:p>
        </w:tc>
        <w:tc>
          <w:tcPr>
            <w:tcW w:type="dxa" w:w="2076"/>
          </w:tcPr>
          <w:p>
            <w:pPr>
              <w:pStyle w:val="null3"/>
              <w:jc w:val="left"/>
            </w:pPr>
            <w:r>
              <w:rPr/>
              <w:t>供应商须负责现场施工土建开挖部分到相关部门报建。（提供承诺函，格式自拟）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平台兼容性</w:t>
            </w:r>
          </w:p>
        </w:tc>
        <w:tc>
          <w:tcPr>
            <w:tcW w:type="dxa" w:w="2076"/>
          </w:tcPr>
          <w:p>
            <w:pPr>
              <w:pStyle w:val="null3"/>
              <w:jc w:val="left"/>
            </w:pPr>
            <w:r>
              <w:rPr/>
              <w:t>本项目建成后，要求新建的交通监控设备可以接入梅州市丰顺县现有公安交警系统平台，供应商须负责联网申报，并与梅州市丰顺县公安局交警大队沟通设备接入等详细情况，费用由供应商承担，供应商须对此作出承诺（提供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设备一般要求</w:t>
            </w:r>
          </w:p>
        </w:tc>
        <w:tc>
          <w:tcPr>
            <w:tcW w:type="dxa" w:w="2076"/>
          </w:tcPr>
          <w:p>
            <w:pPr>
              <w:pStyle w:val="null3"/>
              <w:jc w:val="left"/>
            </w:pPr>
            <w:r>
              <w:rPr/>
              <w:t>（1）供应商所投设备必须是制造商原装、全新、未使用过的产品，产品符合国家及该产品的出厂标准及相关认证规定，在中国范围内合法销售的产品。（2）货物外观清洁，标记编号以及盘面显示等字体清晰、明确。 （3）产品包装均应有良好的防湿、防锈、防潮、防雨、防腐及防碰撞的措施，凡由于包装不良好造成的损失和由此产生的费用均由中标供应商承担。 4）供应商必须确保货物及所有配套件的完整性。对于招标文件没有列出，而对货物的正常运行和维护必不可少的且应属于货物配带的部件、配件等，供应商有责任给予补充。</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所有货物保证在交付采购人安装验收合格之日起免费质保期不低于1年。保修内容按生产厂家的保修规定进行保修，在免费保修期结束后，须继续提供有偿维护和维修服务，具体事项由双方协商。（2）中标供应商设有固定的维修服务机构，以满足采购人要求，提供24小时的全方位技术支持和售后服务。所供设备须按厂家承诺实行“三包”，若发现本次采购的设备本身存在缺陷，中标供应商须无条件退货或更换同类产品。（3）在保用的期限内，本次采购的设备出现非采购人责任造成的故障的，中标供应商无偿为采购人维修或更换相应设备，并保证采购人的正常使用。响应时间：采购人反馈产品质量、故障、事故问题时，30分钟内予以响应，需到现场维修时，1小时内到达现场维修，一般情况在24小时内须排除故障，特殊情况需与采购人说明情况，并提供代用设备，保证采购人的正常工作使用。（4）中标供应商须为采购人进行相关操作及安装调试工作。（5）中标供应商应提供包括但不限于满足货物安装、使用和维护的技术文件，如货物和附件装箱清单、质量合格检定证明文件、保修服务卡、使用说明（原版正本）和中文维护手册。 （6）在保质期满后，中标供应商须保证以合理优惠的价格提供备件和保养服务。</w:t>
            </w:r>
          </w:p>
        </w:tc>
      </w:tr>
      <w:tr>
        <w:tc>
          <w:tcPr>
            <w:tcW w:type="dxa" w:w="2076"/>
          </w:tcPr>
          <w:p/>
        </w:tc>
        <w:tc>
          <w:tcPr>
            <w:tcW w:type="dxa" w:w="2076"/>
          </w:tcPr>
          <w:p>
            <w:pPr>
              <w:pStyle w:val="null3"/>
              <w:jc w:val="center"/>
            </w:pPr>
            <w:r>
              <w:rPr/>
              <w:t>5</w:t>
            </w:r>
          </w:p>
        </w:tc>
        <w:tc>
          <w:tcPr>
            <w:tcW w:type="dxa" w:w="2076"/>
          </w:tcPr>
          <w:p>
            <w:pPr>
              <w:pStyle w:val="null3"/>
              <w:jc w:val="left"/>
            </w:pPr>
            <w:r>
              <w:rPr/>
              <w:t>运营相关服务</w:t>
            </w:r>
          </w:p>
        </w:tc>
        <w:tc>
          <w:tcPr>
            <w:tcW w:type="dxa" w:w="2076"/>
          </w:tcPr>
          <w:p>
            <w:pPr>
              <w:pStyle w:val="null3"/>
              <w:jc w:val="left"/>
            </w:pPr>
            <w:r>
              <w:rPr/>
              <w:t>（1）前端运维服务：提供终验通过后1年免费质保服务。 （2）后端运维服务：由运营商提供3年后端运维服务。 （3）电费：建设单位自行报装。 （4）线路接入：为路口提供上下行对称的100M带宽数据对接链路，3年。 （5）平台接入：后端平台接入（含图片、数据存储1年），平台升级费用、实施调测，人工等，3年。 （6）后端存储主机：后端存储主机(含8块8T硬盘)，满足视频存储30天以上。</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培训地点：采购人指定地点；（2）培训内容要求：中标供应商必须明确提供系统及设备操作等方面的培训；（3）培训费用：供应商应将所有培训费用（含培训教材费）及各项支出列入培训费用中，所有的费用必须计入投标总价。</w:t>
            </w:r>
          </w:p>
        </w:tc>
      </w:tr>
      <w:tr>
        <w:tc>
          <w:tcPr>
            <w:tcW w:type="dxa" w:w="2076"/>
          </w:tcPr>
          <w:p/>
        </w:tc>
        <w:tc>
          <w:tcPr>
            <w:tcW w:type="dxa" w:w="2076"/>
          </w:tcPr>
          <w:p>
            <w:pPr>
              <w:pStyle w:val="null3"/>
              <w:jc w:val="center"/>
            </w:pPr>
            <w:r>
              <w:rPr/>
              <w:t>7</w:t>
            </w:r>
          </w:p>
        </w:tc>
        <w:tc>
          <w:tcPr>
            <w:tcW w:type="dxa" w:w="2076"/>
          </w:tcPr>
          <w:p>
            <w:pPr>
              <w:pStyle w:val="null3"/>
              <w:jc w:val="left"/>
            </w:pPr>
            <w:r>
              <w:rPr/>
              <w:t>报价要求</w:t>
            </w:r>
          </w:p>
        </w:tc>
        <w:tc>
          <w:tcPr>
            <w:tcW w:type="dxa" w:w="2076"/>
          </w:tcPr>
          <w:p>
            <w:pPr>
              <w:pStyle w:val="null3"/>
              <w:jc w:val="left"/>
            </w:pPr>
            <w:r>
              <w:rPr/>
              <w:t>报价应包括所需的安装调试、运营费、人工费、材料费、机械费、管理费、利润、措施项目费、其它项目费、规费、税金等其他相关费用，合同实施过程中应预见和不可预见费用等，采购人将不予支付除了招标文件及承包合同约定的由采购人承担的风险因素之外的任何补偿。</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交通管理设备</w:t>
            </w:r>
          </w:p>
        </w:tc>
        <w:tc>
          <w:tcPr>
            <w:tcW w:type="dxa" w:w="831"/>
          </w:tcPr>
          <w:p>
            <w:pPr>
              <w:pStyle w:val="null3"/>
              <w:jc w:val="left"/>
            </w:pPr>
            <w:r>
              <w:rPr/>
              <w:t>科技路口和丰达路口建设交通信号灯</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1,311,478.40</w:t>
            </w:r>
          </w:p>
        </w:tc>
        <w:tc>
          <w:tcPr>
            <w:tcW w:type="dxa" w:w="831"/>
          </w:tcPr>
          <w:p>
            <w:pPr>
              <w:pStyle w:val="null3"/>
              <w:jc w:val="right"/>
            </w:pPr>
            <w:r>
              <w:rPr/>
              <w:t>1,311,478.40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交通管理设备</w:t>
            </w:r>
          </w:p>
        </w:tc>
        <w:tc>
          <w:tcPr>
            <w:tcW w:type="dxa" w:w="831"/>
          </w:tcPr>
          <w:p>
            <w:pPr>
              <w:pStyle w:val="null3"/>
              <w:jc w:val="left"/>
            </w:pPr>
            <w:r>
              <w:rPr/>
              <w:t>电子警察主控机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20,272.46</w:t>
            </w:r>
          </w:p>
        </w:tc>
        <w:tc>
          <w:tcPr>
            <w:tcW w:type="dxa" w:w="831"/>
          </w:tcPr>
          <w:p>
            <w:pPr>
              <w:pStyle w:val="null3"/>
              <w:jc w:val="right"/>
            </w:pPr>
            <w:r>
              <w:rPr/>
              <w:t>40,544.92</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交通管理设备</w:t>
            </w:r>
          </w:p>
        </w:tc>
        <w:tc>
          <w:tcPr>
            <w:tcW w:type="dxa" w:w="831"/>
          </w:tcPr>
          <w:p>
            <w:pPr>
              <w:pStyle w:val="null3"/>
              <w:jc w:val="left"/>
            </w:pPr>
            <w:r>
              <w:rPr/>
              <w:t>电子警察（900万像素高清电子警察）</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22,613.51</w:t>
            </w:r>
          </w:p>
        </w:tc>
        <w:tc>
          <w:tcPr>
            <w:tcW w:type="dxa" w:w="831"/>
          </w:tcPr>
          <w:p>
            <w:pPr>
              <w:pStyle w:val="null3"/>
              <w:jc w:val="right"/>
            </w:pPr>
            <w:r>
              <w:rPr/>
              <w:t>135,681.06</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交通管理设备</w:t>
            </w:r>
          </w:p>
        </w:tc>
        <w:tc>
          <w:tcPr>
            <w:tcW w:type="dxa" w:w="831"/>
          </w:tcPr>
          <w:p>
            <w:pPr>
              <w:pStyle w:val="null3"/>
              <w:jc w:val="left"/>
            </w:pPr>
            <w:r>
              <w:rPr/>
              <w:t>闭路电视（400万像素高清一体化IP摄像机）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21,616.38</w:t>
            </w:r>
          </w:p>
        </w:tc>
        <w:tc>
          <w:tcPr>
            <w:tcW w:type="dxa" w:w="831"/>
          </w:tcPr>
          <w:p>
            <w:pPr>
              <w:pStyle w:val="null3"/>
              <w:jc w:val="right"/>
            </w:pPr>
            <w:r>
              <w:rPr/>
              <w:t>86,465.52</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交通管理设备</w:t>
            </w:r>
          </w:p>
        </w:tc>
        <w:tc>
          <w:tcPr>
            <w:tcW w:type="dxa" w:w="831"/>
          </w:tcPr>
          <w:p>
            <w:pPr>
              <w:pStyle w:val="null3"/>
              <w:jc w:val="left"/>
            </w:pPr>
            <w:r>
              <w:rPr/>
              <w:t>交通信号控制机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58,909.19</w:t>
            </w:r>
          </w:p>
        </w:tc>
        <w:tc>
          <w:tcPr>
            <w:tcW w:type="dxa" w:w="831"/>
          </w:tcPr>
          <w:p>
            <w:pPr>
              <w:pStyle w:val="null3"/>
              <w:jc w:val="right"/>
            </w:pPr>
            <w:r>
              <w:rPr/>
              <w:t>117,818.38</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科技路口和丰达路口建设交通信号灯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（一）道路交通信号灯具</w:t>
            </w:r>
          </w:p>
          <w:p>
            <w:pPr>
              <w:pStyle w:val="null3"/>
              <w:jc w:val="both"/>
            </w:pPr>
            <w:r>
              <w:rPr>
                <w:sz w:val="21"/>
              </w:rPr>
              <w:t>1.符合国标《道路交通信号灯 GB14887-2011》技术指标。</w:t>
            </w:r>
          </w:p>
          <w:p>
            <w:pPr>
              <w:pStyle w:val="null3"/>
              <w:jc w:val="both"/>
            </w:pPr>
            <w:r>
              <w:rPr>
                <w:sz w:val="21"/>
              </w:rPr>
              <w:t>2.透光镜规格：有效发光面直径300mm及400mm透镜必须是无色透明的 PC工程塑料注塑成型。</w:t>
            </w:r>
          </w:p>
          <w:p>
            <w:pPr>
              <w:pStyle w:val="null3"/>
              <w:jc w:val="both"/>
            </w:pPr>
            <w:r>
              <w:rPr>
                <w:sz w:val="21"/>
              </w:rPr>
              <w:t>3.外壳：橙黄色/纯黑色/棕色，外壳防护等级：IP54。</w:t>
            </w:r>
          </w:p>
          <w:p>
            <w:pPr>
              <w:pStyle w:val="null3"/>
              <w:jc w:val="both"/>
            </w:pPr>
            <w:r>
              <w:rPr>
                <w:sz w:val="21"/>
              </w:rPr>
              <w:t>4.单灯外形规格：机动灯450mm×450mm，行人灯350mm×350mm。</w:t>
            </w:r>
          </w:p>
          <w:p>
            <w:pPr>
              <w:pStyle w:val="null3"/>
              <w:jc w:val="both"/>
            </w:pPr>
            <w:r>
              <w:rPr>
                <w:sz w:val="21"/>
              </w:rPr>
              <w:t>5.机动灯黄灯芯内置19秒倒计时，行人灯芯内置99秒倒计时。</w:t>
            </w:r>
          </w:p>
          <w:p>
            <w:pPr>
              <w:pStyle w:val="null3"/>
              <w:jc w:val="both"/>
            </w:pPr>
            <w:r>
              <w:rPr>
                <w:sz w:val="21"/>
              </w:rPr>
              <w:t>6.信号灯厚度：235mm。</w:t>
            </w:r>
          </w:p>
          <w:p>
            <w:pPr>
              <w:pStyle w:val="null3"/>
              <w:jc w:val="both"/>
            </w:pPr>
            <w:r>
              <w:rPr>
                <w:sz w:val="21"/>
              </w:rPr>
              <w:t>7.满屏灯中心最高亮度不小于400cd 、不大于1000cd。</w:t>
            </w:r>
          </w:p>
          <w:p>
            <w:pPr>
              <w:pStyle w:val="null3"/>
              <w:jc w:val="both"/>
            </w:pPr>
            <w:r>
              <w:rPr>
                <w:sz w:val="21"/>
              </w:rPr>
              <w:t>8.红色信号灯色度范围</w:t>
            </w:r>
          </w:p>
          <w:p>
            <w:pPr>
              <w:pStyle w:val="null3"/>
              <w:jc w:val="both"/>
            </w:pPr>
            <w:r>
              <w:rPr>
                <w:sz w:val="21"/>
              </w:rPr>
              <w:t>（</w:t>
            </w:r>
            <w:r>
              <w:rPr>
                <w:sz w:val="21"/>
              </w:rPr>
              <w:t>1）x=0.660,y=0.320</w:t>
            </w:r>
          </w:p>
          <w:p>
            <w:pPr>
              <w:pStyle w:val="null3"/>
              <w:jc w:val="both"/>
            </w:pPr>
            <w:r>
              <w:rPr>
                <w:sz w:val="21"/>
              </w:rPr>
              <w:t>（</w:t>
            </w:r>
            <w:r>
              <w:rPr>
                <w:sz w:val="21"/>
              </w:rPr>
              <w:t>2）x=0.680,y=0.320</w:t>
            </w:r>
          </w:p>
          <w:p>
            <w:pPr>
              <w:pStyle w:val="null3"/>
              <w:jc w:val="both"/>
            </w:pPr>
            <w:r>
              <w:rPr>
                <w:sz w:val="21"/>
              </w:rPr>
              <w:t>（</w:t>
            </w:r>
            <w:r>
              <w:rPr>
                <w:sz w:val="21"/>
              </w:rPr>
              <w:t>3）x=0.710,y=0.290</w:t>
            </w:r>
          </w:p>
          <w:p>
            <w:pPr>
              <w:pStyle w:val="null3"/>
              <w:jc w:val="both"/>
            </w:pPr>
            <w:r>
              <w:rPr>
                <w:sz w:val="21"/>
              </w:rPr>
              <w:t>（</w:t>
            </w:r>
            <w:r>
              <w:rPr>
                <w:sz w:val="21"/>
              </w:rPr>
              <w:t>4）x=0.690,y=0.290</w:t>
            </w:r>
          </w:p>
          <w:p>
            <w:pPr>
              <w:pStyle w:val="null3"/>
              <w:jc w:val="both"/>
            </w:pPr>
            <w:r>
              <w:rPr>
                <w:sz w:val="21"/>
              </w:rPr>
              <w:t>9.黄色信号灯色度范围</w:t>
            </w:r>
          </w:p>
          <w:p>
            <w:pPr>
              <w:pStyle w:val="null3"/>
              <w:jc w:val="both"/>
            </w:pPr>
            <w:r>
              <w:rPr>
                <w:sz w:val="21"/>
              </w:rPr>
              <w:t>（</w:t>
            </w:r>
            <w:r>
              <w:rPr>
                <w:sz w:val="21"/>
              </w:rPr>
              <w:t>1）x=0.536,y=0.444</w:t>
            </w:r>
          </w:p>
          <w:p>
            <w:pPr>
              <w:pStyle w:val="null3"/>
              <w:jc w:val="both"/>
            </w:pPr>
            <w:r>
              <w:rPr>
                <w:sz w:val="21"/>
              </w:rPr>
              <w:t>（</w:t>
            </w:r>
            <w:r>
              <w:rPr>
                <w:sz w:val="21"/>
              </w:rPr>
              <w:t>2）x=0.547,y=0.452</w:t>
            </w:r>
          </w:p>
          <w:p>
            <w:pPr>
              <w:pStyle w:val="null3"/>
              <w:jc w:val="both"/>
            </w:pPr>
            <w:r>
              <w:rPr>
                <w:sz w:val="21"/>
              </w:rPr>
              <w:t>（</w:t>
            </w:r>
            <w:r>
              <w:rPr>
                <w:sz w:val="21"/>
              </w:rPr>
              <w:t>3）x=0.613,y=0.387</w:t>
            </w:r>
          </w:p>
          <w:p>
            <w:pPr>
              <w:pStyle w:val="null3"/>
              <w:jc w:val="both"/>
            </w:pPr>
            <w:r>
              <w:rPr>
                <w:sz w:val="21"/>
              </w:rPr>
              <w:t>（</w:t>
            </w:r>
            <w:r>
              <w:rPr>
                <w:sz w:val="21"/>
              </w:rPr>
              <w:t>4）x=0.593,y=0.387</w:t>
            </w:r>
          </w:p>
          <w:p>
            <w:pPr>
              <w:pStyle w:val="null3"/>
              <w:jc w:val="both"/>
            </w:pPr>
            <w:r>
              <w:rPr>
                <w:sz w:val="21"/>
              </w:rPr>
              <w:t>10.绿色信号灯色度范围</w:t>
            </w:r>
          </w:p>
          <w:p>
            <w:pPr>
              <w:pStyle w:val="null3"/>
              <w:jc w:val="both"/>
            </w:pPr>
            <w:r>
              <w:rPr>
                <w:sz w:val="21"/>
              </w:rPr>
              <w:t>（</w:t>
            </w:r>
            <w:r>
              <w:rPr>
                <w:sz w:val="21"/>
              </w:rPr>
              <w:t>1）x=0.009,y=0.720</w:t>
            </w:r>
          </w:p>
          <w:p>
            <w:pPr>
              <w:pStyle w:val="null3"/>
              <w:jc w:val="both"/>
            </w:pPr>
            <w:r>
              <w:rPr>
                <w:sz w:val="21"/>
              </w:rPr>
              <w:t>（</w:t>
            </w:r>
            <w:r>
              <w:rPr>
                <w:sz w:val="21"/>
              </w:rPr>
              <w:t>2）x=0.284,y=0.520</w:t>
            </w:r>
          </w:p>
          <w:p>
            <w:pPr>
              <w:pStyle w:val="null3"/>
              <w:jc w:val="both"/>
            </w:pPr>
            <w:r>
              <w:rPr>
                <w:sz w:val="21"/>
              </w:rPr>
              <w:t>（</w:t>
            </w:r>
            <w:r>
              <w:rPr>
                <w:sz w:val="21"/>
              </w:rPr>
              <w:t>3）x=0.209,y=0.400</w:t>
            </w:r>
          </w:p>
          <w:p>
            <w:pPr>
              <w:pStyle w:val="null3"/>
              <w:jc w:val="both"/>
            </w:pPr>
            <w:r>
              <w:rPr>
                <w:sz w:val="21"/>
              </w:rPr>
              <w:t>（</w:t>
            </w:r>
            <w:r>
              <w:rPr>
                <w:sz w:val="21"/>
              </w:rPr>
              <w:t>4）x=0.028,y=0.400</w:t>
            </w:r>
          </w:p>
          <w:p>
            <w:pPr>
              <w:pStyle w:val="null3"/>
              <w:jc w:val="both"/>
            </w:pPr>
            <w:r>
              <w:rPr>
                <w:sz w:val="21"/>
              </w:rPr>
              <w:t>11.使用寿命不少于50000小时。</w:t>
            </w:r>
          </w:p>
          <w:p>
            <w:pPr>
              <w:pStyle w:val="null3"/>
              <w:jc w:val="both"/>
            </w:pPr>
            <w:r>
              <w:rPr>
                <w:sz w:val="21"/>
              </w:rPr>
              <w:t>12.单灯重量不大于4.5公斤。</w:t>
            </w:r>
          </w:p>
          <w:p>
            <w:pPr>
              <w:pStyle w:val="null3"/>
              <w:jc w:val="both"/>
            </w:pPr>
            <w:r>
              <w:rPr>
                <w:sz w:val="21"/>
              </w:rPr>
              <w:t>13.信号灯基准轴光强Is与其夹角为10o方向的幻象产生的光强Iph之比：红、黄（Is/Iph＞8；绿色红、黄（Is/Iph）＞16。</w:t>
            </w:r>
          </w:p>
          <w:p>
            <w:pPr>
              <w:pStyle w:val="null3"/>
              <w:jc w:val="both"/>
            </w:pPr>
            <w:r>
              <w:rPr>
                <w:sz w:val="21"/>
              </w:rPr>
              <w:t>14.为减小幻象效应（假显示现象），信号灯配光中不能采用反光杯结构。</w:t>
            </w:r>
          </w:p>
          <w:p>
            <w:pPr>
              <w:pStyle w:val="null3"/>
              <w:jc w:val="both"/>
            </w:pPr>
            <w:r>
              <w:rPr>
                <w:sz w:val="21"/>
              </w:rPr>
              <w:t>15.耐高温性能：60℃±2℃工作16h信号灯工作正常。</w:t>
            </w:r>
          </w:p>
          <w:p>
            <w:pPr>
              <w:pStyle w:val="null3"/>
              <w:jc w:val="both"/>
            </w:pPr>
            <w:r>
              <w:rPr>
                <w:sz w:val="21"/>
              </w:rPr>
              <w:t>16.耐低温性能：-15℃±3℃工作16h信号灯工作正常。</w:t>
            </w:r>
          </w:p>
          <w:p>
            <w:pPr>
              <w:pStyle w:val="null3"/>
              <w:jc w:val="both"/>
            </w:pPr>
            <w:r>
              <w:rPr>
                <w:sz w:val="21"/>
              </w:rPr>
              <w:t>17.湿热性能：40℃±1℃、湿度 93%±2％，时间48h工作正常，并测试绝缘电阻大于2MΩ。</w:t>
            </w:r>
          </w:p>
          <w:p>
            <w:pPr>
              <w:pStyle w:val="null3"/>
              <w:jc w:val="both"/>
            </w:pPr>
            <w:r>
              <w:rPr>
                <w:sz w:val="21"/>
              </w:rPr>
              <w:t>18.绝缘电阻：大于2MΩ。</w:t>
            </w:r>
          </w:p>
          <w:p>
            <w:pPr>
              <w:pStyle w:val="null3"/>
              <w:jc w:val="both"/>
            </w:pPr>
            <w:r>
              <w:rPr>
                <w:sz w:val="21"/>
              </w:rPr>
              <w:t>19.介电强度：1440V。</w:t>
            </w:r>
          </w:p>
          <w:p>
            <w:pPr>
              <w:pStyle w:val="null3"/>
              <w:jc w:val="both"/>
            </w:pPr>
            <w:r>
              <w:rPr>
                <w:sz w:val="21"/>
              </w:rPr>
              <w:t>20.盐雾试验：35℃±2℃、盐雾溶液质量百分比浓度为5%±0. 1% , 96h内每隔45min喷雾15min，试验后在10000m</w:t>
            </w:r>
            <w:r>
              <w:rPr>
                <w:sz w:val="21"/>
                <w:vertAlign w:val="superscript"/>
              </w:rPr>
              <w:t>2</w:t>
            </w:r>
            <w:r>
              <w:rPr>
                <w:sz w:val="21"/>
              </w:rPr>
              <w:t xml:space="preserve"> </w:t>
            </w:r>
            <w:r>
              <w:rPr>
                <w:sz w:val="21"/>
              </w:rPr>
              <w:t>锈点数少于</w:t>
            </w:r>
            <w:r>
              <w:rPr>
                <w:sz w:val="21"/>
              </w:rPr>
              <w:t>8个。</w:t>
            </w:r>
          </w:p>
          <w:p>
            <w:pPr>
              <w:pStyle w:val="null3"/>
              <w:jc w:val="both"/>
            </w:pPr>
            <w:r>
              <w:rPr>
                <w:sz w:val="21"/>
              </w:rPr>
              <w:t>21.抗冲击性能：质量0.51Kg、直径50mm的钢球从1300mm的高度自由下落至信号灯表面，不应被贯穿。</w:t>
            </w:r>
          </w:p>
          <w:p>
            <w:pPr>
              <w:pStyle w:val="null3"/>
              <w:jc w:val="both"/>
            </w:pPr>
            <w:r>
              <w:rPr>
                <w:sz w:val="21"/>
              </w:rPr>
              <w:t>22.抗震动：频率10～500Hz、0.02g2/Hz(10~50 Hz) 、0.01g2/Hz(50~150 Hz) 、0.002g2/Hz(150~500 Hz)，3轴，每轴持续 2h。</w:t>
            </w:r>
          </w:p>
          <w:p>
            <w:pPr>
              <w:pStyle w:val="null3"/>
              <w:jc w:val="both"/>
            </w:pPr>
            <w:r>
              <w:rPr>
                <w:sz w:val="21"/>
              </w:rPr>
              <w:t>23.信号灯工作正常，无零件损坏松动。</w:t>
            </w:r>
          </w:p>
          <w:p>
            <w:pPr>
              <w:pStyle w:val="null3"/>
              <w:jc w:val="both"/>
            </w:pPr>
            <w:r>
              <w:rPr>
                <w:sz w:val="21"/>
              </w:rPr>
              <w:t>24.应有前遮沿，采用铝合金板经喷塑处理。</w:t>
            </w:r>
          </w:p>
          <w:p>
            <w:pPr>
              <w:pStyle w:val="null3"/>
              <w:jc w:val="both"/>
            </w:pPr>
            <w:r>
              <w:rPr>
                <w:sz w:val="21"/>
              </w:rPr>
              <w:t>25.所有标准件全部采用不锈钢材料。</w:t>
            </w:r>
          </w:p>
          <w:p>
            <w:pPr>
              <w:pStyle w:val="null3"/>
              <w:jc w:val="both"/>
            </w:pPr>
            <w:r>
              <w:rPr>
                <w:sz w:val="21"/>
              </w:rPr>
              <w:t>26.所有密封件采用硅橡胶材料。</w:t>
            </w:r>
          </w:p>
          <w:p>
            <w:pPr>
              <w:pStyle w:val="null3"/>
              <w:jc w:val="both"/>
            </w:pPr>
            <w:r>
              <w:rPr>
                <w:sz w:val="21"/>
              </w:rPr>
              <w:t>27.灯前盖可双向开启。</w:t>
            </w:r>
          </w:p>
          <w:p>
            <w:pPr>
              <w:pStyle w:val="null3"/>
              <w:jc w:val="both"/>
            </w:pPr>
            <w:r>
              <w:rPr>
                <w:sz w:val="21"/>
              </w:rPr>
              <w:t>28.灯前盖可徒手快速拆卸并实现与后壳分离。</w:t>
            </w:r>
          </w:p>
          <w:p>
            <w:pPr>
              <w:pStyle w:val="null3"/>
              <w:jc w:val="both"/>
            </w:pPr>
            <w:r>
              <w:rPr>
                <w:sz w:val="21"/>
                <w:b/>
              </w:rPr>
              <w:t>（二）</w:t>
            </w:r>
            <w:r>
              <w:rPr>
                <w:sz w:val="21"/>
                <w:b/>
              </w:rPr>
              <w:t>LED 补光灯</w:t>
            </w:r>
          </w:p>
          <w:p>
            <w:pPr>
              <w:pStyle w:val="null3"/>
            </w:pPr>
            <w:r>
              <w:rPr>
                <w:sz w:val="21"/>
              </w:rPr>
              <w:t>1.光源类型：16颗优质大功率LED；</w:t>
            </w:r>
          </w:p>
          <w:p>
            <w:pPr>
              <w:pStyle w:val="null3"/>
            </w:pPr>
            <w:r>
              <w:rPr>
                <w:sz w:val="21"/>
              </w:rPr>
              <w:t>2.发光角度12°；</w:t>
            </w:r>
          </w:p>
          <w:p>
            <w:pPr>
              <w:pStyle w:val="null3"/>
            </w:pPr>
            <w:r>
              <w:rPr>
                <w:sz w:val="21"/>
              </w:rPr>
              <w:t>3.覆盖范围：单车道环境补光灯；</w:t>
            </w:r>
          </w:p>
          <w:p>
            <w:pPr>
              <w:pStyle w:val="null3"/>
            </w:pPr>
            <w:r>
              <w:rPr>
                <w:sz w:val="21"/>
              </w:rPr>
              <w:t>4.最佳补光范围16米～25米；</w:t>
            </w:r>
          </w:p>
          <w:p>
            <w:pPr>
              <w:pStyle w:val="null3"/>
            </w:pPr>
            <w:r>
              <w:rPr>
                <w:sz w:val="21"/>
              </w:rPr>
              <w:t>5.触发方式： 4V~6V电平量触发；</w:t>
            </w:r>
          </w:p>
          <w:p>
            <w:pPr>
              <w:pStyle w:val="null3"/>
            </w:pPr>
            <w:r>
              <w:rPr>
                <w:sz w:val="21"/>
              </w:rPr>
              <w:t>6.触发信号：频率15~250HZ，占空比1%~39%，响应时间小于20US；</w:t>
            </w:r>
          </w:p>
          <w:p>
            <w:pPr>
              <w:pStyle w:val="null3"/>
            </w:pPr>
            <w:r>
              <w:rPr>
                <w:sz w:val="21"/>
              </w:rPr>
              <w:t>7.外壳材质金属铝；</w:t>
            </w:r>
          </w:p>
          <w:p>
            <w:pPr>
              <w:pStyle w:val="null3"/>
            </w:pPr>
            <w:r>
              <w:rPr>
                <w:sz w:val="21"/>
              </w:rPr>
              <w:t>8.电源：220VAC±10%；</w:t>
            </w:r>
          </w:p>
          <w:p>
            <w:pPr>
              <w:pStyle w:val="null3"/>
            </w:pPr>
            <w:r>
              <w:rPr>
                <w:sz w:val="21"/>
              </w:rPr>
              <w:t>9.工作湿度：湿度5%~95%@40℃，无凝结；</w:t>
            </w:r>
          </w:p>
          <w:p>
            <w:pPr>
              <w:pStyle w:val="null3"/>
              <w:jc w:val="both"/>
            </w:pPr>
            <w:r>
              <w:rPr>
                <w:sz w:val="21"/>
              </w:rPr>
              <w:t>10.防护等级不低于：IP66</w:t>
            </w:r>
            <w:r>
              <w:rPr>
                <w:sz w:val="21"/>
              </w:rPr>
              <w:t>。</w:t>
            </w:r>
          </w:p>
          <w:p>
            <w:pPr>
              <w:pStyle w:val="null3"/>
              <w:jc w:val="both"/>
            </w:pPr>
            <w:r>
              <w:rPr>
                <w:sz w:val="21"/>
                <w:b/>
              </w:rPr>
              <w:t>（三）交通灯信号检测器</w:t>
            </w:r>
          </w:p>
          <w:p>
            <w:pPr>
              <w:pStyle w:val="null3"/>
            </w:pPr>
            <w:r>
              <w:rPr>
                <w:sz w:val="21"/>
              </w:rPr>
              <w:t>1.具有6路RS485、16路AC220V信号灯输入接口、16路信号状态指示灯，1路RS485数据收发状态指示灯、1个5位拨码开关、1路5V电源输出接口；</w:t>
            </w:r>
          </w:p>
          <w:p>
            <w:pPr>
              <w:pStyle w:val="null3"/>
            </w:pPr>
            <w:r>
              <w:rPr>
                <w:sz w:val="21"/>
              </w:rPr>
              <w:t>2.检测信号灯电压范围AC110V~274V；信号灯输入端口有信号输入时，RS485端口会上传该端口的状态信息；</w:t>
            </w:r>
          </w:p>
          <w:p>
            <w:pPr>
              <w:pStyle w:val="null3"/>
            </w:pPr>
            <w:r>
              <w:rPr>
                <w:sz w:val="21"/>
              </w:rPr>
              <w:t>3.当有电压信号输入时，对应通道的状态指示灯点亮；</w:t>
            </w:r>
          </w:p>
          <w:p>
            <w:pPr>
              <w:pStyle w:val="null3"/>
            </w:pPr>
            <w:r>
              <w:rPr>
                <w:sz w:val="21"/>
              </w:rPr>
              <w:t>4.设备功耗小于3W；</w:t>
            </w:r>
          </w:p>
          <w:p>
            <w:pPr>
              <w:pStyle w:val="null3"/>
            </w:pPr>
            <w:r>
              <w:rPr>
                <w:sz w:val="21"/>
              </w:rPr>
              <w:t>5.设备在正常工作条件下，连续工作168h不应出现电、机械或操作系统的故障；</w:t>
            </w:r>
          </w:p>
          <w:p>
            <w:pPr>
              <w:pStyle w:val="null3"/>
              <w:jc w:val="both"/>
            </w:pPr>
            <w:r>
              <w:rPr>
                <w:sz w:val="21"/>
              </w:rPr>
              <w:t>6.工作温度－40℃～80℃</w:t>
            </w:r>
            <w:r>
              <w:rPr>
                <w:sz w:val="21"/>
              </w:rPr>
              <w:t>。</w:t>
            </w:r>
          </w:p>
          <w:p>
            <w:pPr>
              <w:pStyle w:val="null3"/>
              <w:jc w:val="both"/>
            </w:pPr>
            <w:r>
              <w:rPr>
                <w:sz w:val="21"/>
                <w:b/>
              </w:rPr>
              <w:t>（四）标识牌、指示牌</w:t>
            </w:r>
          </w:p>
          <w:p>
            <w:pPr>
              <w:pStyle w:val="null3"/>
              <w:jc w:val="both"/>
            </w:pPr>
            <w:r>
              <w:rPr>
                <w:sz w:val="21"/>
              </w:rPr>
              <w:t>1.标志板材料</w:t>
            </w:r>
          </w:p>
          <w:p>
            <w:pPr>
              <w:pStyle w:val="null3"/>
              <w:jc w:val="both"/>
            </w:pPr>
            <w:r>
              <w:rPr>
                <w:sz w:val="21"/>
              </w:rPr>
              <w:t>所有标志反光膜等级均采用</w:t>
            </w:r>
            <w:r>
              <w:rPr>
                <w:sz w:val="21"/>
              </w:rPr>
              <w:t>Ⅳ类或Ⅴ类，反光等级不低于Ⅳ类（超强级），学校路段标志反光膜等级均采用Ⅴ类（钻石级）；面板≥2 ㎡时，采用挤压成型铝合金板拼装而成，面板＜㎡时，一般采用普通铝合金板。标志板的材料应满足《道路交通标志板及支撑件》（GB/T 23827-2009）的相关要求。</w:t>
            </w:r>
          </w:p>
          <w:p>
            <w:pPr>
              <w:pStyle w:val="null3"/>
              <w:jc w:val="both"/>
            </w:pPr>
            <w:r>
              <w:rPr>
                <w:sz w:val="21"/>
              </w:rPr>
              <w:t>2.标志板颜色</w:t>
            </w:r>
          </w:p>
          <w:p>
            <w:pPr>
              <w:pStyle w:val="null3"/>
              <w:jc w:val="both"/>
            </w:pPr>
            <w:r>
              <w:rPr>
                <w:sz w:val="21"/>
              </w:rPr>
              <w:t>根据《道路交通标志和标线》（</w:t>
            </w:r>
            <w:r>
              <w:rPr>
                <w:sz w:val="21"/>
              </w:rPr>
              <w:t>GB 5768-2009）的相关规定。除特殊规定外，一般城市道路指路标志为蓝底白图文，快速路指路标志为绿底白图文，旅游区标志为棕底白图文，辅助标志为白底黑图文，警告标志为黄底黑图案，禁令标志为白底红图案，指示标志为蓝底白图案。</w:t>
            </w:r>
          </w:p>
          <w:p>
            <w:pPr>
              <w:pStyle w:val="null3"/>
              <w:jc w:val="both"/>
            </w:pPr>
            <w:r>
              <w:rPr>
                <w:sz w:val="21"/>
              </w:rPr>
              <w:t>3.交通标志结构</w:t>
            </w:r>
          </w:p>
          <w:p>
            <w:pPr>
              <w:pStyle w:val="null3"/>
              <w:jc w:val="both"/>
            </w:pPr>
            <w:r>
              <w:rPr>
                <w:sz w:val="21"/>
              </w:rPr>
              <w:t>标志根据实际情况采用单柱式、双柱式、悬臂式、门架式及附着式等结构，交通标志的上部结构采用概率极限状态设计法，按承载能力极限状态和正常使用极限状态设计。标志设计使用年限为</w:t>
            </w:r>
            <w:r>
              <w:rPr>
                <w:sz w:val="21"/>
              </w:rPr>
              <w:t>50 年，抗震设防烈度为7 度。设计采用 50 年一遇平均风速，设计风速 35.2m/s 。双柱式、悬臂式、门架式标志结构重要性系数取为 1.0 ，其他标志结构结构重要性系数取为0.9。标志板背后加强结构均采用65#或 100#铝合金滑动槽，保证板面平整及抗风压强度。地基应根据实际情况进行处理，保证地基承载力特征值达到设计要求。基础环境类别按Ⅰ类考虑，环境作用等级为Ⅰ-A，标志基础均按要求配筋，基础钢筋保护层除注明外均按外层钢筋净保护层厚度为4.0cm 控制，其他环境类别或环境作用等级应根据实际情况另作特殊设计，满足现行混凝土结构耐久性设计规范的要求。</w:t>
            </w:r>
          </w:p>
          <w:p>
            <w:pPr>
              <w:pStyle w:val="null3"/>
              <w:jc w:val="both"/>
            </w:pPr>
            <w:r>
              <w:rPr>
                <w:sz w:val="21"/>
                <w:b/>
              </w:rPr>
              <w:t>（五）交通标线</w:t>
            </w:r>
          </w:p>
          <w:p>
            <w:pPr>
              <w:pStyle w:val="null3"/>
              <w:jc w:val="both"/>
            </w:pPr>
            <w:r>
              <w:rPr>
                <w:sz w:val="21"/>
              </w:rPr>
              <w:t>1.涂料：热熔、含20%以上的玻璃珠</w:t>
            </w:r>
          </w:p>
          <w:p>
            <w:pPr>
              <w:pStyle w:val="null3"/>
              <w:jc w:val="both"/>
            </w:pPr>
            <w:r>
              <w:rPr>
                <w:sz w:val="21"/>
              </w:rPr>
              <w:t>2.厚度：2mm</w:t>
            </w:r>
          </w:p>
          <w:p>
            <w:pPr>
              <w:pStyle w:val="null3"/>
              <w:jc w:val="both"/>
            </w:pPr>
            <w:r>
              <w:rPr>
                <w:sz w:val="21"/>
              </w:rPr>
              <w:t>3.有效寿命：12月</w:t>
            </w:r>
          </w:p>
          <w:p>
            <w:pPr>
              <w:pStyle w:val="null3"/>
              <w:jc w:val="both"/>
            </w:pPr>
            <w:r>
              <w:rPr>
                <w:sz w:val="21"/>
              </w:rPr>
              <w:t>4.单位：平方米</w:t>
            </w:r>
          </w:p>
          <w:p>
            <w:pPr>
              <w:pStyle w:val="null3"/>
              <w:jc w:val="both"/>
            </w:pPr>
            <w:r>
              <w:rPr>
                <w:sz w:val="21"/>
              </w:rPr>
              <w:t>5.要求：光泽色彩的反衬清晰，必须与路面紧密粘合、不易剥落、不变色、不易老化，耐磨性、耐水性、耐碱性、抗压强度符合国家标准。（JT/T390或 JT/T280-2004）</w:t>
            </w:r>
          </w:p>
          <w:p>
            <w:pPr>
              <w:pStyle w:val="null3"/>
              <w:jc w:val="both"/>
            </w:pPr>
            <w:r>
              <w:rPr>
                <w:sz w:val="21"/>
              </w:rPr>
              <w:t>6.标线施工应符合《道路交通标志和标线》（GB 5768-2009）的要求。</w:t>
            </w:r>
          </w:p>
          <w:p>
            <w:pPr>
              <w:pStyle w:val="null3"/>
              <w:jc w:val="both"/>
            </w:pPr>
            <w:r>
              <w:rPr>
                <w:sz w:val="21"/>
                <w:b/>
              </w:rPr>
              <w:t>（六）科技路口和丰达路口建设交通信号灯项目</w:t>
            </w:r>
          </w:p>
          <w:tbl>
            <w:tblPr>
              <w:tblInd w:type="dxa" w:w="120"/>
              <w:tblBorders>
                <w:top w:val="none" w:color="000000" w:sz="4"/>
                <w:left w:val="none" w:color="000000" w:sz="4"/>
                <w:bottom w:val="none" w:color="000000" w:sz="4"/>
                <w:right w:val="none" w:color="000000" w:sz="4"/>
                <w:insideH w:val="none"/>
                <w:insideV w:val="none"/>
              </w:tblBorders>
            </w:tblPr>
            <w:tblGrid>
              <w:gridCol w:w="507"/>
              <w:gridCol w:w="3110"/>
              <w:gridCol w:w="1289"/>
              <w:gridCol w:w="692"/>
            </w:tblGrid>
            <w:tr>
              <w:tc>
                <w:tcPr>
                  <w:tcW w:type="dxa" w:w="5598"/>
                  <w:gridSpan w:val="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235国道科技路口交通监控及设施完善项目-交通工程（土建部分）</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道路凿除与恢复</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起挖绿篱和露地花卉</w:t>
                  </w:r>
                  <w:r>
                    <w:rPr>
                      <w:sz w:val="21"/>
                    </w:rPr>
                    <w:t>(高度cm) 60以内</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拆除人行道</w:t>
                  </w:r>
                  <w:r>
                    <w:rPr>
                      <w:sz w:val="21"/>
                    </w:rPr>
                    <w:t>混凝土预制板</w:t>
                  </w:r>
                  <w:r>
                    <w:rPr>
                      <w:sz w:val="21"/>
                    </w:rPr>
                    <w:t>厚</w:t>
                  </w:r>
                  <w:r>
                    <w:rPr>
                      <w:sz w:val="21"/>
                    </w:rPr>
                    <w:t>8cm内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人工拆除基层</w:t>
                  </w:r>
                  <w:r>
                    <w:rPr>
                      <w:sz w:val="21"/>
                    </w:rPr>
                    <w:t>矿</w:t>
                  </w:r>
                  <w:r>
                    <w:rPr>
                      <w:sz w:val="21"/>
                    </w:rPr>
                    <w:t>(炉)碴、砂砾 厚15cm内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旧路面机械切缝</w:t>
                  </w:r>
                  <w:r>
                    <w:rPr>
                      <w:sz w:val="21"/>
                    </w:rPr>
                    <w:t>沥青混凝土路面</w:t>
                  </w:r>
                  <w:r>
                    <w:rPr>
                      <w:sz w:val="21"/>
                    </w:rPr>
                    <w:t>5cm厚</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小型机械拆除沥青柏油类路面层厚</w:t>
                  </w:r>
                  <w:r>
                    <w:rPr>
                      <w:sz w:val="21"/>
                    </w:rPr>
                    <w:t>10cm以内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人工拆除基层</w:t>
                  </w:r>
                  <w:r>
                    <w:rPr>
                      <w:sz w:val="21"/>
                    </w:rPr>
                    <w:t>矿</w:t>
                  </w:r>
                  <w:r>
                    <w:rPr>
                      <w:sz w:val="21"/>
                    </w:rPr>
                    <w:t>(炉)碴、砂砾厚15cm内实际厚度(cm):40</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挖掘机挖装沟槽、基坑土方一、二类土</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0.13345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挖掘机挖装松散石方</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0.04198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自卸汽车运石方运距</w:t>
                  </w:r>
                  <w:r>
                    <w:rPr>
                      <w:sz w:val="21"/>
                    </w:rPr>
                    <w:t>1km实际运距(km):3</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0.04198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管</w:t>
                  </w:r>
                  <w:r>
                    <w:rPr>
                      <w:sz w:val="21"/>
                    </w:rPr>
                    <w:t>(基)坑回填砂</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0.1465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管</w:t>
                  </w:r>
                  <w:r>
                    <w:rPr>
                      <w:sz w:val="21"/>
                    </w:rPr>
                    <w:t>(基)坑回填石屑</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回填土夯实机夯实</w:t>
                  </w:r>
                  <w:r>
                    <w:rPr>
                      <w:sz w:val="21"/>
                    </w:rPr>
                    <w:t>槽、坑</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r>
                    <w:rPr>
                      <w:sz w:val="21"/>
                    </w:rPr>
                    <w:t>压实方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人行道砖砂浆垫层</w:t>
                  </w:r>
                  <w:r>
                    <w:rPr>
                      <w:sz w:val="21"/>
                    </w:rPr>
                    <w:t>(结合层)厚度3cm合并制作子目抹灰水泥砂浆(配合比)中砂1:3</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4%</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沥青贯入式路面厚度</w:t>
                  </w:r>
                  <w:r>
                    <w:rPr>
                      <w:sz w:val="21"/>
                    </w:rPr>
                    <w:t>4cm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沥青贯入式路面厚度</w:t>
                  </w:r>
                  <w:r>
                    <w:rPr>
                      <w:sz w:val="21"/>
                    </w:rPr>
                    <w:t>5cm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6%</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4%</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恢复绿化</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绿色施工安全防护措施费</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235国道科技路口交通监控及设施完善项目-</w:t>
                  </w:r>
                  <w:r>
                    <w:rPr>
                      <w:sz w:val="21"/>
                      <w:b/>
                    </w:rPr>
                    <w:t>市政工程</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交通标线</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热熔标线</w:t>
                  </w:r>
                  <w:r>
                    <w:rPr>
                      <w:sz w:val="21"/>
                    </w:rPr>
                    <w:t>普通型</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横道线</w:t>
                  </w:r>
                  <w:r>
                    <w:rPr>
                      <w:sz w:val="21"/>
                    </w:rPr>
                    <w:t>热熔涂料</w:t>
                  </w:r>
                  <w:r>
                    <w:rPr>
                      <w:sz w:val="21"/>
                    </w:rPr>
                    <w:t>普通型</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20.924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箭头</w:t>
                  </w:r>
                  <w:r>
                    <w:rPr>
                      <w:sz w:val="21"/>
                    </w:rPr>
                    <w:t>热熔型漆</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11.976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清除路面标线</w:t>
                  </w:r>
                  <w:r>
                    <w:rPr>
                      <w:sz w:val="21"/>
                    </w:rPr>
                    <w:t>沥青砼路面机械清除</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单柱人行横道标志杆</w:t>
                  </w:r>
                  <w:r>
                    <w:rPr>
                      <w:sz w:val="21"/>
                    </w:rPr>
                    <w:t>(包安装，基础等所有费用）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方形标志牌</w:t>
                  </w:r>
                  <w:r>
                    <w:rPr>
                      <w:sz w:val="21"/>
                    </w:rPr>
                    <w:t>800×800mm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单柱组合标志杆</w:t>
                  </w:r>
                  <w:r>
                    <w:rPr>
                      <w:sz w:val="21"/>
                    </w:rPr>
                    <w:t>(包安装，基础等所有费用）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三角形标志牌</w:t>
                  </w:r>
                  <w:r>
                    <w:rPr>
                      <w:sz w:val="21"/>
                    </w:rPr>
                    <w:t>△900mm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方形标志牌</w:t>
                  </w:r>
                  <w:r>
                    <w:rPr>
                      <w:sz w:val="21"/>
                    </w:rPr>
                    <w:t>600×800mm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反光防护桩</w:t>
                  </w:r>
                  <w:r>
                    <w:rPr>
                      <w:sz w:val="21"/>
                    </w:rPr>
                    <w:t>Ф127(包安装，基础等所有费用）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235国道科技路口交通监控及设施完善项目-</w:t>
                  </w:r>
                  <w:r>
                    <w:rPr>
                      <w:sz w:val="21"/>
                      <w:b/>
                    </w:rPr>
                    <w:t>交通工程（设备部分）</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交通信号灯</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交通信号控制机（包安装，设备基础等所有费用）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人行道信号灯杆</w:t>
                  </w:r>
                  <w:r>
                    <w:rPr>
                      <w:sz w:val="21"/>
                    </w:rPr>
                    <w:t>H=3m（包安装，设备基础等所有费用）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机动车信号灯杆（包安装，设备基础等所有费用），悬臂灯杆</w:t>
                  </w:r>
                  <w:r>
                    <w:rPr>
                      <w:sz w:val="21"/>
                    </w:rPr>
                    <w:t>,L型，L=10米，H=6.5m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机动车信号灯杆（包安装，设备基础等所有费用），悬臂灯杆</w:t>
                  </w:r>
                  <w:r>
                    <w:rPr>
                      <w:sz w:val="21"/>
                    </w:rPr>
                    <w:t>,L型，T=3米，H=6.5m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机动车信号灯具</w:t>
                  </w:r>
                  <w:r>
                    <w:rPr>
                      <w:sz w:val="21"/>
                    </w:rPr>
                    <w:t>LED3*1，φ400（包安装）(满屏灯具，含内置倒计时器)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机动车信号灯具</w:t>
                  </w:r>
                  <w:r>
                    <w:rPr>
                      <w:sz w:val="21"/>
                    </w:rPr>
                    <w:t>LED3*1，φ400（包安装）(箭头灯具，含内置倒计时器)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人行道信号灯具</w:t>
                  </w:r>
                  <w:r>
                    <w:rPr>
                      <w:sz w:val="21"/>
                    </w:rPr>
                    <w:t>LED2*1，φ300（包安装）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交通监控配电箱（包安装，设备基础等所有费用）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高清电子警察</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电子警察主控机（包安装</w:t>
                  </w:r>
                  <w:r>
                    <w:rPr>
                      <w:sz w:val="21"/>
                    </w:rPr>
                    <w:t>,设备基础等所有费用）</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900万像素高清电子警察（包安装）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高清视频电子警察补光灯（包安装）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高清电子警察单向通信机（包安装）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电子警察悬臂杆（包安装，设备基础等所有费用），高</w:t>
                  </w:r>
                  <w:r>
                    <w:rPr>
                      <w:sz w:val="21"/>
                    </w:rPr>
                    <w:t>6米,臂长8米</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闭路电视</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400万像素高清一体化IP摄像机（包安装）</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CCTV闭路电视控制箱（包安装）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闭路电视立杆（包安装，设备基础等所有费用），</w:t>
                  </w:r>
                  <w:r>
                    <w:rPr>
                      <w:sz w:val="21"/>
                    </w:rPr>
                    <w:t xml:space="preserve">  </w:t>
                  </w:r>
                  <w:r>
                    <w:rPr>
                      <w:sz w:val="21"/>
                    </w:rPr>
                    <w:t>高</w:t>
                  </w:r>
                  <w:r>
                    <w:rPr>
                      <w:sz w:val="21"/>
                    </w:rPr>
                    <w:t>12米</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管线、沙井</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控制机电源线</w:t>
                  </w:r>
                  <w:r>
                    <w:rPr>
                      <w:sz w:val="21"/>
                    </w:rPr>
                    <w:t>YJV-0.6/1KV-3×16mm2</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机动车信号灯电源线</w:t>
                  </w:r>
                  <w:r>
                    <w:rPr>
                      <w:sz w:val="21"/>
                    </w:rPr>
                    <w:t>RVV-7×1.5mm2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人行信号灯电源线</w:t>
                  </w:r>
                  <w:r>
                    <w:rPr>
                      <w:sz w:val="21"/>
                    </w:rPr>
                    <w:t>RVV-3×1.5mm2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倒计时器控制线</w:t>
                  </w:r>
                  <w:r>
                    <w:rPr>
                      <w:sz w:val="21"/>
                    </w:rPr>
                    <w:t>RVVP-4×1.0mm2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电子警察、闭路电视电源线</w:t>
                  </w:r>
                  <w:r>
                    <w:rPr>
                      <w:sz w:val="21"/>
                    </w:rPr>
                    <w:t>RVV-3×2.5mm2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电子警察、闭路电视通信光缆</w:t>
                  </w:r>
                  <w:r>
                    <w:rPr>
                      <w:sz w:val="21"/>
                    </w:rPr>
                    <w:t>4芯单模</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电子警察、闭路电视电源线</w:t>
                  </w:r>
                  <w:r>
                    <w:rPr>
                      <w:sz w:val="21"/>
                    </w:rPr>
                    <w:t>RVV-3×1.5mm2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电子警察、闭路电视超五类屏蔽网线</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补光灯电源线</w:t>
                  </w:r>
                  <w:r>
                    <w:rPr>
                      <w:sz w:val="21"/>
                    </w:rPr>
                    <w:t>RVV-3×1.0mm2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补光灯控制线</w:t>
                  </w:r>
                  <w:r>
                    <w:rPr>
                      <w:sz w:val="21"/>
                    </w:rPr>
                    <w:t>RVV-4×1.0mm2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电缆保护管</w:t>
                  </w:r>
                  <w:r>
                    <w:rPr>
                      <w:sz w:val="21"/>
                    </w:rPr>
                    <w:t>PE110×6.6mm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牵引管</w:t>
                  </w:r>
                  <w:r>
                    <w:rPr>
                      <w:sz w:val="21"/>
                    </w:rPr>
                    <w:t>(顶管)PE110×10mm（含挖土、土方回填、原路面恢复、泥浆运输等所有费用)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接线小沙井</w:t>
                  </w:r>
                  <w:r>
                    <w:rPr>
                      <w:sz w:val="21"/>
                    </w:rPr>
                    <w:t>400×400×800mm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接线大沙井</w:t>
                  </w:r>
                  <w:r>
                    <w:rPr>
                      <w:sz w:val="21"/>
                    </w:rPr>
                    <w:t>800×600×1000mm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运营服务</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后端运维服务</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线路接入</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平台接入</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后端存储主机</w:t>
                  </w:r>
                  <w:r>
                    <w:rPr>
                      <w:sz w:val="21"/>
                    </w:rPr>
                    <w:t>(含8块硬盘)</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235国道丰达路口交通监控及设施完善项目-</w:t>
                  </w:r>
                  <w:r>
                    <w:rPr>
                      <w:sz w:val="21"/>
                      <w:b/>
                    </w:rPr>
                    <w:t>交通工程（土建部分）</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道路凿除与恢复</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拆除人行道混凝土预制板厚</w:t>
                  </w:r>
                  <w:r>
                    <w:rPr>
                      <w:sz w:val="21"/>
                    </w:rPr>
                    <w:t>8cm内</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人工拆除基层</w:t>
                  </w:r>
                  <w:r>
                    <w:rPr>
                      <w:sz w:val="21"/>
                    </w:rPr>
                    <w:t>矿</w:t>
                  </w:r>
                  <w:r>
                    <w:rPr>
                      <w:sz w:val="21"/>
                    </w:rPr>
                    <w:t>(炉)碴、砂砾厚15cm内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旧路面机械切缝水泥混凝土路面</w:t>
                  </w:r>
                  <w:r>
                    <w:rPr>
                      <w:sz w:val="21"/>
                    </w:rPr>
                    <w:t>5cm厚实际厚度(cm):25</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小型机械拆除混凝土类路面层无筋厚</w:t>
                  </w:r>
                  <w:r>
                    <w:rPr>
                      <w:sz w:val="21"/>
                    </w:rPr>
                    <w:t>15cm内实际厚度(cm):25</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人工拆除基层</w:t>
                  </w:r>
                  <w:r>
                    <w:rPr>
                      <w:sz w:val="21"/>
                    </w:rPr>
                    <w:t>矿</w:t>
                  </w:r>
                  <w:r>
                    <w:rPr>
                      <w:sz w:val="21"/>
                    </w:rPr>
                    <w:t>(炉)碴、砂砾厚15cm内实际厚度(cm):40</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挖掘机挖装沟槽、基坑土方一、二类土</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0.084125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挖掘机挖装松散石方</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0.055645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自卸汽车运石方运距</w:t>
                  </w:r>
                  <w:r>
                    <w:rPr>
                      <w:sz w:val="21"/>
                    </w:rPr>
                    <w:t>1km 实际运距(km):3</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1000m</w:t>
                  </w:r>
                  <w:r>
                    <w:rPr>
                      <w:sz w:val="21"/>
                      <w:vertAlign w:val="superscript"/>
                    </w:rPr>
                    <w:t>3</w:t>
                  </w:r>
                  <w:r>
                    <w:rPr>
                      <w:sz w:val="21"/>
                    </w:rPr>
                    <w:t>天然密实方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0.055645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管</w:t>
                  </w:r>
                  <w:r>
                    <w:rPr>
                      <w:sz w:val="21"/>
                    </w:rPr>
                    <w:t>(基)坑回填砂</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0.151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管</w:t>
                  </w:r>
                  <w:r>
                    <w:rPr>
                      <w:sz w:val="21"/>
                    </w:rPr>
                    <w:t>(基)坑回填石屑</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0.08625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回填土夯实机夯实槽、坑</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3</w:t>
                  </w:r>
                  <w:r>
                    <w:rPr>
                      <w:sz w:val="21"/>
                    </w:rPr>
                    <w:t>压实方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0.84125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人行道砖砂浆垫层</w:t>
                  </w:r>
                  <w:r>
                    <w:rPr>
                      <w:sz w:val="21"/>
                    </w:rPr>
                    <w:t>(结合层)厚度3cm合并制作子目抹灰水泥砂浆(配合比)中砂 1:3</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4%</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22.65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水泥混凝土路面厚度</w:t>
                  </w:r>
                  <w:r>
                    <w:rPr>
                      <w:sz w:val="21"/>
                    </w:rPr>
                    <w:t>20cm实际厚度(cm):25</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普通预拌混凝土碎石粒径综合考虑</w:t>
                  </w:r>
                  <w:r>
                    <w:rPr>
                      <w:sz w:val="21"/>
                    </w:rPr>
                    <w:t>C35</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8.7975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6%</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8.625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集中拌合水泥石屑混合料水泥含量</w:t>
                  </w:r>
                  <w:r>
                    <w:rPr>
                      <w:sz w:val="21"/>
                    </w:rPr>
                    <w:t>4%</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人工铺筑水泥石屑</w:t>
                  </w:r>
                  <w:r>
                    <w:rPr>
                      <w:sz w:val="21"/>
                    </w:rPr>
                    <w:t>(碎石)混合料厚度15cm实际厚度(cm):25</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水泥混凝土路面养生麻袋养生</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绿色施工安全防护措施费</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235国道丰达路口交通监控及设施完善项目-</w:t>
                  </w:r>
                  <w:r>
                    <w:rPr>
                      <w:sz w:val="21"/>
                      <w:b/>
                    </w:rPr>
                    <w:t>市政工程</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交通标线</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热熔标线</w:t>
                  </w:r>
                  <w:r>
                    <w:rPr>
                      <w:sz w:val="21"/>
                    </w:rPr>
                    <w:t>普通型</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横道线</w:t>
                  </w:r>
                  <w:r>
                    <w:rPr>
                      <w:sz w:val="21"/>
                    </w:rPr>
                    <w:t>热熔涂料</w:t>
                  </w:r>
                  <w:r>
                    <w:rPr>
                      <w:sz w:val="21"/>
                    </w:rPr>
                    <w:t>普通型</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13.946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箭头</w:t>
                  </w:r>
                  <w:r>
                    <w:rPr>
                      <w:sz w:val="21"/>
                    </w:rPr>
                    <w:t>热熔型漆</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8.554</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清除路面标线</w:t>
                  </w:r>
                  <w:r>
                    <w:rPr>
                      <w:sz w:val="21"/>
                    </w:rPr>
                    <w:t>沥青砼路面机械清除</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w:t>
                  </w:r>
                  <w:r>
                    <w:rPr>
                      <w:sz w:val="21"/>
                      <w:vertAlign w:val="superscript"/>
                    </w:rPr>
                    <w:t>2</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单柱人行横道标志杆</w:t>
                  </w:r>
                  <w:r>
                    <w:rPr>
                      <w:sz w:val="20"/>
                    </w:rPr>
                    <w:t>(包安装，基础等所有费用）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方形标志牌</w:t>
                  </w:r>
                  <w:r>
                    <w:rPr>
                      <w:sz w:val="20"/>
                    </w:rPr>
                    <w:t>800×800mm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单柱组合标志杆</w:t>
                  </w:r>
                  <w:r>
                    <w:rPr>
                      <w:sz w:val="20"/>
                    </w:rPr>
                    <w:t>(包安装，基础等所有费用）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三角形标志牌</w:t>
                  </w:r>
                  <w:r>
                    <w:rPr>
                      <w:sz w:val="20"/>
                    </w:rPr>
                    <w:t>△900mm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方形标志牌</w:t>
                  </w:r>
                  <w:r>
                    <w:rPr>
                      <w:sz w:val="20"/>
                    </w:rPr>
                    <w:t>600×800mm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反光防护桩</w:t>
                  </w:r>
                  <w:r>
                    <w:rPr>
                      <w:sz w:val="20"/>
                    </w:rPr>
                    <w:t>Ф127(包安装，基础等所有费用）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235国道丰达路口交通监控及设施完善项目-交通工程（设备部分）</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工程名称型号规格</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交通信号灯</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交通信号控制机（包安装，设备基础等所有费用）</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人行道信号灯杆</w:t>
                  </w:r>
                  <w:r>
                    <w:rPr>
                      <w:sz w:val="20"/>
                    </w:rPr>
                    <w:t>H=3m（包安装，设备基础等所有费用）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机动车信号灯杆（包安装，设备基础等所有费用），悬臂灯杆</w:t>
                  </w:r>
                  <w:r>
                    <w:rPr>
                      <w:sz w:val="20"/>
                    </w:rPr>
                    <w:t>,L型，L=6米，H=6.5m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机动车信号灯杆（包安装，设备基础等所有费用），悬臂灯杆</w:t>
                  </w:r>
                  <w:r>
                    <w:rPr>
                      <w:sz w:val="20"/>
                    </w:rPr>
                    <w:t>,L型，T=3米，H=6.5m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机动车信号灯具</w:t>
                  </w:r>
                  <w:r>
                    <w:rPr>
                      <w:sz w:val="20"/>
                    </w:rPr>
                    <w:t>LED3*1，φ400（包安装）(满屏灯具，含内置倒计时器)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人行道信号灯具</w:t>
                  </w:r>
                  <w:r>
                    <w:rPr>
                      <w:sz w:val="20"/>
                    </w:rPr>
                    <w:t>LED2*1，φ300（包安装）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交通监控配电箱（包安装，设备基础等所有费用）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高清电子警察</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电子警察主控机（包安装</w:t>
                  </w:r>
                  <w:r>
                    <w:rPr>
                      <w:sz w:val="20"/>
                    </w:rPr>
                    <w:t>,设备基础等所有费用）</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900万像素高清电子警察（包安装）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高清视频电子警察补光灯（包安装）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高清电子警察单向通信机（包安装）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电子警察悬臂杆（包安装，设备基础等所有费用），</w:t>
                  </w:r>
                  <w:r>
                    <w:rPr>
                      <w:sz w:val="20"/>
                    </w:rPr>
                    <w:t xml:space="preserve">  </w:t>
                  </w:r>
                  <w:r>
                    <w:rPr>
                      <w:sz w:val="20"/>
                    </w:rPr>
                    <w:t>高</w:t>
                  </w:r>
                  <w:r>
                    <w:rPr>
                      <w:sz w:val="20"/>
                    </w:rPr>
                    <w:t>6米,臂长6米</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闭路电视</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400万像素高清一体化IP摄像机（包安装）</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CCTV闭路电视控制箱（包安装）</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闭路电视立杆（包安装，设备基础等所有费用），高</w:t>
                  </w:r>
                  <w:r>
                    <w:rPr>
                      <w:sz w:val="20"/>
                    </w:rPr>
                    <w:t>12米</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管线、沙井</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控制机电源线</w:t>
                  </w:r>
                  <w:r>
                    <w:rPr>
                      <w:sz w:val="20"/>
                    </w:rPr>
                    <w:t>YJV-0.6/1KV-3×16mm</w:t>
                  </w:r>
                  <w:r>
                    <w:rPr>
                      <w:sz w:val="20"/>
                      <w:vertAlign w:val="superscript"/>
                    </w:rPr>
                    <w:t>2</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机动车信号灯电源线</w:t>
                  </w:r>
                  <w:r>
                    <w:rPr>
                      <w:sz w:val="20"/>
                    </w:rPr>
                    <w:t>RVV-7×1.5mm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462</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人行信号灯电源线</w:t>
                  </w:r>
                  <w:r>
                    <w:rPr>
                      <w:sz w:val="20"/>
                    </w:rPr>
                    <w:t>RVV-3×1.5mm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倒计时器控制线</w:t>
                  </w:r>
                  <w:r>
                    <w:rPr>
                      <w:sz w:val="20"/>
                    </w:rPr>
                    <w:t>RVVP-4×1.0mm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电子警察、闭路电视电源线</w:t>
                  </w:r>
                  <w:r>
                    <w:rPr>
                      <w:sz w:val="20"/>
                    </w:rPr>
                    <w:t>RVV-3×2.5mm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电子警察、闭路电视通信光缆</w:t>
                  </w:r>
                  <w:r>
                    <w:rPr>
                      <w:sz w:val="20"/>
                    </w:rPr>
                    <w:t>4芯单模</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电子警察、闭路电视电源线</w:t>
                  </w:r>
                  <w:r>
                    <w:rPr>
                      <w:sz w:val="20"/>
                    </w:rPr>
                    <w:t>RVV-3×1.5mm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电子警察、闭路电视超五类屏蔽网线</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补光灯电源线</w:t>
                  </w:r>
                  <w:r>
                    <w:rPr>
                      <w:sz w:val="20"/>
                    </w:rPr>
                    <w:t>RVV-3×1.0mm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补光灯控制线</w:t>
                  </w:r>
                  <w:r>
                    <w:rPr>
                      <w:sz w:val="20"/>
                    </w:rPr>
                    <w:t>RVV-4×1.0mm</w:t>
                  </w:r>
                  <w:r>
                    <w:rPr>
                      <w:sz w:val="20"/>
                      <w:vertAlign w:val="superscript"/>
                    </w:rPr>
                    <w:t>2</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电缆保护管</w:t>
                  </w:r>
                  <w:r>
                    <w:rPr>
                      <w:sz w:val="20"/>
                    </w:rPr>
                    <w:t>PE110×6.6mm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548</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牵引管</w:t>
                  </w:r>
                  <w:r>
                    <w:rPr>
                      <w:sz w:val="20"/>
                    </w:rPr>
                    <w:t>(顶管)PE110×10mm（含挖土、土方回填、原路面恢复、泥浆运输等所有费用)</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136</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接线小沙井</w:t>
                  </w:r>
                  <w:r>
                    <w:rPr>
                      <w:sz w:val="20"/>
                    </w:rPr>
                    <w:t>400×400×800mm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接线大沙井</w:t>
                  </w:r>
                  <w:r>
                    <w:rPr>
                      <w:sz w:val="20"/>
                    </w:rPr>
                    <w:t>800×600×1000mm</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59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运营服务</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后端运维服务</w:t>
                  </w:r>
                </w:p>
              </w:tc>
              <w:tc>
                <w:tcPr>
                  <w:tcW w:type="dxa" w:w="12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线路接入</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平台接入</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11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后端存储主机</w:t>
                  </w:r>
                  <w:r>
                    <w:rPr>
                      <w:sz w:val="20"/>
                    </w:rPr>
                    <w:t>(含8块硬盘)</w:t>
                  </w:r>
                </w:p>
              </w:tc>
              <w:tc>
                <w:tcPr>
                  <w:tcW w:type="dxa" w:w="12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电子警察主控机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（一）电子警察主控机</w:t>
            </w:r>
          </w:p>
          <w:p>
            <w:pPr>
              <w:pStyle w:val="null3"/>
            </w:pPr>
            <w:r>
              <w:rPr>
                <w:sz w:val="21"/>
              </w:rPr>
              <w:t>▲1.样机具有18个10M/100M/1000M自适应RJ45接口，其中P1～P16与G1处于同一网段、G2处于另一网段；2个1000M SFP光端接口，分别与G1、G2处于同一网段（提供检测机构出具的检验报告扫描件为证明材料）；</w:t>
            </w:r>
          </w:p>
          <w:p>
            <w:pPr>
              <w:pStyle w:val="null3"/>
            </w:pPr>
            <w:r>
              <w:rPr>
                <w:sz w:val="21"/>
              </w:rPr>
              <w:t>2.具有2个RS-232接口、2个RS-485接口、1个USB 3.0接口、2路报警输入接口、2路报警输出接口、1个音频输入接口、1个音频输出接口、4个SATA接口、4个状态指示灯、1个接地端子；</w:t>
            </w:r>
          </w:p>
          <w:p>
            <w:pPr>
              <w:pStyle w:val="null3"/>
            </w:pPr>
            <w:r>
              <w:rPr>
                <w:sz w:val="21"/>
              </w:rPr>
              <w:t>3.支持IP地址过滤、SSH开关自定义、视频水印等安全防护功能，具有ARP防攻击设置选项、具备强密码管理功能；支持WEB回话Session ID、数据传输加密、固件完整性等安全检验；</w:t>
            </w:r>
          </w:p>
          <w:p>
            <w:pPr>
              <w:pStyle w:val="null3"/>
            </w:pPr>
            <w:r>
              <w:rPr>
                <w:sz w:val="21"/>
              </w:rPr>
              <w:t>▲4.设备均应具备权限管理、数据加密、运行日志功能（提供检测机构出具的检验报告扫描件为证明材料）；</w:t>
            </w:r>
          </w:p>
          <w:p>
            <w:pPr>
              <w:pStyle w:val="null3"/>
            </w:pPr>
            <w:r>
              <w:rPr>
                <w:sz w:val="21"/>
              </w:rPr>
              <w:t>5.设备应设置操作口令，宜有图像加密，放篡改、防非法复制等措施，以保证原始数据的完整性。重要的图像应加以保护，不被删除和覆盖。设备应有防偶发死机的措施（如硬件看门狗或软件、硬件看门狗或定时自动启动等），死机后的自动恢复时间应满足GB20815中的8.12的要求；</w:t>
            </w:r>
          </w:p>
          <w:p>
            <w:pPr>
              <w:pStyle w:val="null3"/>
            </w:pPr>
            <w:r>
              <w:rPr>
                <w:sz w:val="21"/>
              </w:rPr>
              <w:t>6.摄像机与客户端分别连接样机的不同网段时，客户端可以通过端口映射，跨网段直接访问摄像机，对摄像机进行操作，包括进行参数配置、录像实时预览等；</w:t>
            </w:r>
          </w:p>
          <w:p>
            <w:pPr>
              <w:pStyle w:val="null3"/>
            </w:pPr>
            <w:r>
              <w:rPr>
                <w:sz w:val="21"/>
              </w:rPr>
              <w:t>7.支持将1张、2张、3张、4张、5张、6张图片合成，支持选择图片形状，修改顺序，支持原始图片去黑边。</w:t>
            </w:r>
          </w:p>
          <w:p>
            <w:pPr>
              <w:pStyle w:val="null3"/>
            </w:pPr>
            <w:r>
              <w:rPr>
                <w:sz w:val="21"/>
              </w:rPr>
              <w:t>▲8.支持4块3.5或2.5英寸硬盘接入，每块盘位最大兼容12TB硬盘，支持硬盘自动切换，当一块硬盘损坏后，能自动切换至其它硬盘进行存储。支持SSD,机械硬盘和SSD可以混合使用（提供检测机构出具的检验报告扫描件为证明材料）；</w:t>
            </w:r>
          </w:p>
          <w:p>
            <w:pPr>
              <w:pStyle w:val="null3"/>
            </w:pPr>
            <w:r>
              <w:rPr>
                <w:sz w:val="21"/>
              </w:rPr>
              <w:t>9.支持相同车牌号去重功能，多相机抓拍同一车牌号仅上传一条该车牌条记录到平台；</w:t>
            </w:r>
          </w:p>
          <w:p>
            <w:pPr>
              <w:pStyle w:val="null3"/>
            </w:pPr>
            <w:r>
              <w:rPr>
                <w:sz w:val="21"/>
              </w:rPr>
              <w:t>10.可对IP通道进行图像虚焦、亮度异常、图像偏色、雪花干扰、条纹干扰等类型视频质量进行诊断，可生成诊断信息并导出查看；</w:t>
            </w:r>
          </w:p>
          <w:p>
            <w:pPr>
              <w:pStyle w:val="null3"/>
            </w:pPr>
            <w:r>
              <w:rPr>
                <w:sz w:val="21"/>
              </w:rPr>
              <w:t>11.支持设置最大速度阈值，控制最大显示速度；支持开启速度控制，设置安全速度阈值、告警速度阈值、超速速度阈值及对应的字体颜色，按速度区段区分显示字体颜色；支持仅超速显示车速、卡口合成上传、违法合成上传、无牌车上传、警牌上传、车牌隐私保护等多种个性发布方式；支持按图片类型区分设置显示内容和字体颜色、是否启用语音播报及播报内容，支持的图片类型有超速、违法变道、违法停车、预违停、违法倒车、逆行、卡口、未礼让行人、闯红灯、不按导向箭头行驶、车辆拥堵禁入、压白线、机占非、占用应急车道、右转不礼让行人、大弯小转、禁货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电子警察（900万像素高清电子警察）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（一）电子警察（900万像素高清电子警察）</w:t>
            </w:r>
          </w:p>
          <w:p>
            <w:pPr>
              <w:pStyle w:val="null3"/>
            </w:pPr>
            <w:r>
              <w:rPr>
                <w:sz w:val="21"/>
              </w:rPr>
              <w:t>1.图像传感器检验：样机采用具有全局曝光功能的GS-CMOS图像传感器；</w:t>
            </w:r>
          </w:p>
          <w:p>
            <w:pPr>
              <w:pStyle w:val="null3"/>
            </w:pPr>
            <w:r>
              <w:rPr>
                <w:sz w:val="21"/>
              </w:rPr>
              <w:t>2.设备组成检查：高清抓拍单元由摄像机、高清镜头、室外防护罩、风扇、补光灯、电源适配器、安装万向节等组成；</w:t>
            </w:r>
          </w:p>
          <w:p>
            <w:pPr>
              <w:pStyle w:val="null3"/>
            </w:pPr>
            <w:r>
              <w:rPr>
                <w:sz w:val="21"/>
              </w:rPr>
              <w:t>3.视频分辨率设置检查：支持视频分辨率设置为：50fps：4096×2160、3840×2336、1920×1080、1600×1200、1280×720；25fps：4096×2160、3840×2336、1920×1080、1600×1200、1280×720；</w:t>
            </w:r>
          </w:p>
          <w:p>
            <w:pPr>
              <w:pStyle w:val="null3"/>
            </w:pPr>
            <w:r>
              <w:rPr>
                <w:sz w:val="21"/>
              </w:rPr>
              <w:t>4.机动车违法检测抓拍功能检查 ：支持按车道和时间段配置机动车违法检测抓拍规则，包括压线、违法变道、不按导向行驶、占用非机动车道、倒车、闯红灯、不按规定车道行驶、占用公交车道、逆行、违反禁止左/右转、违法掉头、违反禁货车通行；</w:t>
            </w:r>
          </w:p>
          <w:p>
            <w:pPr>
              <w:pStyle w:val="null3"/>
            </w:pPr>
            <w:r>
              <w:rPr>
                <w:sz w:val="21"/>
              </w:rPr>
              <w:t>5.闯红灯捕获率试验：在天气晴朗无雾，号牌无遮挡，无污损的条件进行测试，白天测试时的环境光照度不低于200lx，晚上测试时辅助照明光照度不高于30lx；</w:t>
            </w:r>
          </w:p>
          <w:p>
            <w:pPr>
              <w:pStyle w:val="null3"/>
            </w:pPr>
            <w:r>
              <w:rPr>
                <w:sz w:val="21"/>
              </w:rPr>
              <w:t>6.白天闯红灯捕获率≥99%；</w:t>
            </w:r>
          </w:p>
          <w:p>
            <w:pPr>
              <w:pStyle w:val="null3"/>
            </w:pPr>
            <w:r>
              <w:rPr>
                <w:sz w:val="21"/>
              </w:rPr>
              <w:t>7.晚上闯红灯捕获率≥99%；</w:t>
            </w:r>
          </w:p>
          <w:p>
            <w:pPr>
              <w:pStyle w:val="null3"/>
            </w:pPr>
            <w:r>
              <w:rPr>
                <w:sz w:val="21"/>
              </w:rPr>
              <w:t>8.支持抓拍并识别垂直倾斜角度≤45°、水平倾斜角度≤35°、俯仰角度≤40°的机动车车牌号码；</w:t>
            </w:r>
          </w:p>
          <w:p>
            <w:pPr>
              <w:pStyle w:val="null3"/>
            </w:pPr>
            <w:r>
              <w:rPr>
                <w:sz w:val="21"/>
              </w:rPr>
              <w:t>9.信号灯状态检测功能检查：支持通过视频检测信号灯状态，支持接收信号机广播的信号灯状态，通过对比判断信号灯的整体运行状况，可在视频预览画面上叠加信号机异常的结果指标；</w:t>
            </w:r>
          </w:p>
          <w:p>
            <w:pPr>
              <w:pStyle w:val="null3"/>
            </w:pPr>
            <w:r>
              <w:rPr>
                <w:sz w:val="21"/>
              </w:rPr>
              <w:t>10.支持逆行和变道违章触发抓拍，逆行识别类型包括:高速公路逆行、单行道逆向行驶;变道违章检测类型包括:实线变道(含双黄线)、导流区变道、连续变道(＞3条车道)；</w:t>
            </w:r>
          </w:p>
          <w:p>
            <w:pPr>
              <w:pStyle w:val="null3"/>
            </w:pPr>
            <w:r>
              <w:rPr>
                <w:sz w:val="21"/>
              </w:rPr>
              <w:t>11.支持图片编码质量配置，车牌小图的图片质量(大/中/小)可配；</w:t>
            </w:r>
          </w:p>
          <w:p>
            <w:pPr>
              <w:pStyle w:val="null3"/>
            </w:pPr>
            <w:r>
              <w:rPr>
                <w:sz w:val="21"/>
              </w:rPr>
              <w:t>12.支持车牌遮挡检查功能，在检测到车牌被遮挡的情况下可给出提示；</w:t>
            </w:r>
          </w:p>
          <w:p>
            <w:pPr>
              <w:pStyle w:val="null3"/>
            </w:pPr>
            <w:r>
              <w:rPr>
                <w:sz w:val="21"/>
              </w:rPr>
              <w:t>13.支持对两轮/三轮车分类识别;可识别外卖箱(外卖品牌)的标识；</w:t>
            </w:r>
          </w:p>
          <w:p>
            <w:pPr>
              <w:pStyle w:val="null3"/>
            </w:pPr>
            <w:r>
              <w:rPr>
                <w:sz w:val="21"/>
              </w:rPr>
              <w:t>14.闯红灯违章支持叠加红灯已亮时间，可按照抓拍索引配置叠加红灯已亮时间；</w:t>
            </w:r>
          </w:p>
          <w:p>
            <w:pPr>
              <w:pStyle w:val="null3"/>
            </w:pPr>
            <w:r>
              <w:rPr>
                <w:sz w:val="21"/>
              </w:rPr>
              <w:t>15.支持渣土车/大货车喷涂车牌识别；</w:t>
            </w:r>
          </w:p>
          <w:p>
            <w:pPr>
              <w:pStyle w:val="null3"/>
            </w:pPr>
            <w:r>
              <w:rPr>
                <w:sz w:val="21"/>
              </w:rPr>
              <w:t>16.支持同时输出不少于5路视频流，其中1路不低于16Mbps码率，1路不低于8Mbps码率；</w:t>
            </w:r>
          </w:p>
          <w:p>
            <w:pPr>
              <w:pStyle w:val="null3"/>
            </w:pPr>
            <w:r>
              <w:rPr>
                <w:sz w:val="21"/>
              </w:rPr>
              <w:t>▲17.车身颜色识别功能检查 ：支持识别不少于39种车身颜色，包括白、黑、红、黄、灰、蓝、绿、粉、紫、暗紫、棕、栗色、银灰、暗灰、白烟、深橙、浅玫瑰、番茄红、橄榄、金、暗橄榄、黄绿、绿黄、森林绿、海洋绿、深天蓝、青、深蓝、深红、深绿、深黄、深粉、深紫、深棕、深青、橙、深金、粉红、其他；支持识别车身副颜色（提供检测机构出具的检验报告扫描件为证明材料）；</w:t>
            </w:r>
          </w:p>
          <w:p>
            <w:pPr>
              <w:pStyle w:val="null3"/>
            </w:pPr>
            <w:r>
              <w:rPr>
                <w:sz w:val="21"/>
              </w:rPr>
              <w:t>▲18.车牌识别功能检查 ：支持对25×10 像素～1100×3000 像素的机动车车牌进行抓拍并识别号码（提供检测机构出具的检验报告扫描件为证明材料）；</w:t>
            </w:r>
          </w:p>
          <w:p>
            <w:pPr>
              <w:pStyle w:val="null3"/>
            </w:pPr>
            <w:r>
              <w:rPr>
                <w:sz w:val="21"/>
              </w:rPr>
              <w:t>▲19.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提供检测机构出具的检验报告扫描件为证明材料）；</w:t>
            </w:r>
          </w:p>
          <w:p>
            <w:pPr>
              <w:pStyle w:val="null3"/>
              <w:jc w:val="both"/>
            </w:pPr>
            <w:r>
              <w:rPr>
                <w:sz w:val="21"/>
              </w:rPr>
              <w:t>▲20.车辆子品牌识别功能检查：支持车辆子品牌识别，对车头图片进行分析抓拍，可分析输出OSD叠加7200种车辆子品牌并显示相应的年款，对车尾图片进行分析抓拍，可分析输出 OSD 叠加3900 种车辆子品牌并显示相应的年款（提供检测机构出具的检验报告扫描件为证明材料）；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闭路电视（400万像素高清一体化IP摄像机）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w:t>
            </w:r>
            <w:r>
              <w:rPr/>
              <w:t>一</w:t>
            </w:r>
            <w:r>
              <w:rPr/>
              <w:t>）</w:t>
            </w:r>
            <w:r>
              <w:rPr/>
              <w:t>闭路电视（</w:t>
            </w:r>
            <w:r>
              <w:rPr/>
              <w:t>400万像素高清一体化IP摄像机）</w:t>
            </w:r>
          </w:p>
          <w:p>
            <w:pPr>
              <w:pStyle w:val="null3"/>
            </w:pPr>
            <w:r>
              <w:rPr>
                <w:sz w:val="21"/>
              </w:rPr>
              <w:t>1.设备由全景摄像机和细节摄像机组成；</w:t>
            </w:r>
          </w:p>
          <w:p>
            <w:pPr>
              <w:pStyle w:val="null3"/>
            </w:pPr>
            <w:r>
              <w:rPr>
                <w:sz w:val="21"/>
              </w:rPr>
              <w:t>2.细节摄像机：分辨率不低于2560x1440;全景摄像机：分辨率不低于2560x1440；</w:t>
            </w:r>
          </w:p>
          <w:p>
            <w:pPr>
              <w:pStyle w:val="null3"/>
            </w:pPr>
            <w:r>
              <w:rPr>
                <w:sz w:val="21"/>
              </w:rPr>
              <w:t>3.CMOS靶面尺寸为1/1.8英寸</w:t>
            </w:r>
          </w:p>
          <w:p>
            <w:pPr>
              <w:pStyle w:val="null3"/>
            </w:pPr>
            <w:r>
              <w:rPr>
                <w:sz w:val="21"/>
              </w:rPr>
              <w:t>4.最低照度彩色≤0.005lx，黑白≤0.001lx；</w:t>
            </w:r>
          </w:p>
          <w:p>
            <w:pPr>
              <w:pStyle w:val="null3"/>
            </w:pPr>
            <w:r>
              <w:rPr>
                <w:sz w:val="21"/>
              </w:rPr>
              <w:t>5.支持水平手控速度不小于160°/S，垂直速度不小于120°/S;水平旋转范围为360°连续旋转，垂直旋转范围为-15°~90°；</w:t>
            </w:r>
          </w:p>
          <w:p>
            <w:pPr>
              <w:pStyle w:val="null3"/>
            </w:pPr>
            <w:r>
              <w:rPr>
                <w:sz w:val="21"/>
              </w:rPr>
              <w:t>6.支持300个预置位，可按照所设置的预置位完成不小于8条巡航路径，支持不小于4条模式路径设置，支持预置位视频冻结功能；</w:t>
            </w:r>
          </w:p>
          <w:p>
            <w:pPr>
              <w:pStyle w:val="null3"/>
            </w:pPr>
            <w:r>
              <w:rPr>
                <w:sz w:val="21"/>
              </w:rPr>
              <w:t>7.具有H.265、H.264设置选项，可将H.265、H.264格式设置为Baseline/Main/High Profile，音频编码格式具有G.711ulaw/G.711alaw/G.726/G.722.1设置选项；</w:t>
            </w:r>
          </w:p>
          <w:p>
            <w:pPr>
              <w:pStyle w:val="null3"/>
            </w:pPr>
            <w:r>
              <w:rPr>
                <w:sz w:val="21"/>
              </w:rPr>
              <w:t>8.▲支持人脸抓拍功能，可对经过设定区域的行人进行人脸检测和人脸跟踪，当检测到人脸后，可抓拍人脸图片（提供检测机构出具的检验报告扫描件为证明材料）；</w:t>
            </w:r>
          </w:p>
          <w:p>
            <w:pPr>
              <w:pStyle w:val="null3"/>
            </w:pPr>
            <w:r>
              <w:rPr>
                <w:sz w:val="21"/>
              </w:rPr>
              <w:t>9.▲需具备智能分析抗干扰功能，当篮球、小狗、树叶等非人或车辆目标经过检测区域时，不会触发报警（提供检测机构出具的检验报告扫描件为证明材料）；</w:t>
            </w:r>
          </w:p>
          <w:p>
            <w:pPr>
              <w:pStyle w:val="null3"/>
            </w:pPr>
            <w:r>
              <w:rPr>
                <w:sz w:val="21"/>
              </w:rPr>
              <w:t>10.内置2颗GPU芯片；</w:t>
            </w:r>
          </w:p>
          <w:p>
            <w:pPr>
              <w:pStyle w:val="null3"/>
            </w:pPr>
            <w:r>
              <w:rPr>
                <w:sz w:val="21"/>
              </w:rPr>
              <w:t>11.全景摄像机内置4颗补光灯，细节摄像机内置6颗补光灯</w:t>
            </w:r>
          </w:p>
          <w:p>
            <w:pPr>
              <w:pStyle w:val="null3"/>
              <w:jc w:val="both"/>
            </w:pPr>
            <w:r>
              <w:rPr>
                <w:sz w:val="21"/>
              </w:rPr>
              <w:t>12.具备较好的防护性能环境适应性，支持IP67，工作温度范围可达-40℃-70℃。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交通信号控制机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一、交通信号控制机</w:t>
            </w:r>
          </w:p>
          <w:p>
            <w:pPr>
              <w:pStyle w:val="null3"/>
              <w:jc w:val="both"/>
            </w:pPr>
            <w:r>
              <w:rPr>
                <w:sz w:val="21"/>
              </w:rPr>
              <w:t>1通用要求</w:t>
            </w:r>
          </w:p>
          <w:p>
            <w:pPr>
              <w:pStyle w:val="null3"/>
            </w:pPr>
            <w:r>
              <w:rPr>
                <w:sz w:val="21"/>
              </w:rPr>
              <w:t>▲符合《GB 25280—2016 道路交通信号控制机》中强制性项目的要求。（提供检测机构出具的检验报告扫描件为证明材料）；</w:t>
            </w:r>
          </w:p>
          <w:p>
            <w:pPr>
              <w:pStyle w:val="null3"/>
              <w:jc w:val="both"/>
            </w:pPr>
            <w:r>
              <w:rPr>
                <w:sz w:val="21"/>
              </w:rPr>
              <w:t>2.技术水平</w:t>
            </w:r>
          </w:p>
          <w:p>
            <w:pPr>
              <w:pStyle w:val="null3"/>
              <w:jc w:val="both"/>
            </w:pPr>
            <w:r>
              <w:rPr>
                <w:sz w:val="21"/>
              </w:rPr>
              <w:t>交通信号控制机的硬件、软件设计应采用嵌入式处理器、嵌入式</w:t>
            </w:r>
            <w:r>
              <w:rPr>
                <w:sz w:val="21"/>
              </w:rPr>
              <w:t>Linux操作系统等技术；</w:t>
            </w:r>
          </w:p>
          <w:p>
            <w:pPr>
              <w:pStyle w:val="null3"/>
              <w:jc w:val="both"/>
            </w:pPr>
            <w:r>
              <w:rPr>
                <w:sz w:val="21"/>
              </w:rPr>
              <w:t>3.主要功能</w:t>
            </w:r>
          </w:p>
          <w:p>
            <w:pPr>
              <w:pStyle w:val="null3"/>
              <w:jc w:val="both"/>
            </w:pPr>
            <w:r>
              <w:rPr>
                <w:sz w:val="21"/>
              </w:rPr>
              <w:t>信号主机应具备下列主要功能：</w:t>
            </w:r>
          </w:p>
          <w:p>
            <w:pPr>
              <w:pStyle w:val="null3"/>
              <w:jc w:val="both"/>
            </w:pPr>
            <w:r>
              <w:rPr>
                <w:sz w:val="21"/>
              </w:rPr>
              <w:t>（</w:t>
            </w:r>
            <w:r>
              <w:rPr>
                <w:sz w:val="21"/>
              </w:rPr>
              <w:t>1）相位配时管理：至少可以配置16种不同的相位组合，每种相位组合至少可以配置16种绿信配时。</w:t>
            </w:r>
          </w:p>
          <w:p>
            <w:pPr>
              <w:pStyle w:val="null3"/>
              <w:jc w:val="both"/>
            </w:pPr>
            <w:r>
              <w:rPr>
                <w:sz w:val="21"/>
              </w:rPr>
              <w:t>（</w:t>
            </w:r>
            <w:r>
              <w:rPr>
                <w:sz w:val="21"/>
              </w:rPr>
              <w:t>2）电压电流检测：每个通道采用独立的变压器和互感器进行电压电流检测。</w:t>
            </w:r>
          </w:p>
          <w:p>
            <w:pPr>
              <w:pStyle w:val="null3"/>
              <w:jc w:val="both"/>
            </w:pPr>
            <w:r>
              <w:rPr>
                <w:sz w:val="21"/>
              </w:rPr>
              <w:t>（</w:t>
            </w:r>
            <w:r>
              <w:rPr>
                <w:sz w:val="21"/>
              </w:rPr>
              <w:t>3）绿冲突检测：向中心系统实时回报具体发生绿冲突的信号。</w:t>
            </w:r>
          </w:p>
          <w:p>
            <w:pPr>
              <w:pStyle w:val="null3"/>
              <w:jc w:val="both"/>
            </w:pPr>
            <w:r>
              <w:rPr>
                <w:sz w:val="21"/>
              </w:rPr>
              <w:t>（</w:t>
            </w:r>
            <w:r>
              <w:rPr>
                <w:sz w:val="21"/>
              </w:rPr>
              <w:t>4）黄闪控制。</w:t>
            </w:r>
          </w:p>
          <w:p>
            <w:pPr>
              <w:pStyle w:val="null3"/>
              <w:jc w:val="both"/>
            </w:pPr>
            <w:r>
              <w:rPr>
                <w:sz w:val="21"/>
              </w:rPr>
              <w:t>（</w:t>
            </w:r>
            <w:r>
              <w:rPr>
                <w:sz w:val="21"/>
              </w:rPr>
              <w:t>5）灭灯控制。</w:t>
            </w:r>
          </w:p>
          <w:p>
            <w:pPr>
              <w:pStyle w:val="null3"/>
              <w:jc w:val="both"/>
            </w:pPr>
            <w:r>
              <w:rPr>
                <w:sz w:val="21"/>
              </w:rPr>
              <w:t>（</w:t>
            </w:r>
            <w:r>
              <w:rPr>
                <w:sz w:val="21"/>
              </w:rPr>
              <w:t>6）手动控制：以手动方式进行信号转换、黄闪、全红控制。手动控制采用手动跳相和手动步进两种方式。</w:t>
            </w:r>
          </w:p>
          <w:p>
            <w:pPr>
              <w:pStyle w:val="null3"/>
              <w:jc w:val="both"/>
            </w:pPr>
            <w:r>
              <w:rPr>
                <w:sz w:val="21"/>
              </w:rPr>
              <w:t>（</w:t>
            </w:r>
            <w:r>
              <w:rPr>
                <w:sz w:val="21"/>
              </w:rPr>
              <w:t>7）多时段控制：可分别提供平日和节假日的单点多时段参数，至少可划分24个时段，每个时段中可选择绿信配时，也可选择黄闪、灭灯。</w:t>
            </w:r>
          </w:p>
          <w:p>
            <w:pPr>
              <w:pStyle w:val="null3"/>
              <w:jc w:val="both"/>
            </w:pPr>
            <w:r>
              <w:rPr>
                <w:sz w:val="21"/>
              </w:rPr>
              <w:t>（</w:t>
            </w:r>
            <w:r>
              <w:rPr>
                <w:sz w:val="21"/>
              </w:rPr>
              <w:t>8）交通感应控制：具有连接地磁、视频、广域雷达、雷视一体机等传感器实现单点全感应、半感应、行人请求功能，当传感器出现故障时自动进入多时段控制。</w:t>
            </w:r>
          </w:p>
          <w:p>
            <w:pPr>
              <w:pStyle w:val="null3"/>
              <w:jc w:val="both"/>
            </w:pPr>
            <w:r>
              <w:rPr>
                <w:sz w:val="21"/>
              </w:rPr>
              <w:t>（</w:t>
            </w:r>
            <w:r>
              <w:rPr>
                <w:sz w:val="21"/>
              </w:rPr>
              <w:t>9）无电缆线控：支持根据时钟同步，通过设定相位差实现无电缆协调控制的功能，日时段不少于24个。</w:t>
            </w:r>
          </w:p>
          <w:p>
            <w:pPr>
              <w:pStyle w:val="null3"/>
              <w:jc w:val="both"/>
            </w:pPr>
            <w:r>
              <w:rPr>
                <w:sz w:val="21"/>
              </w:rPr>
              <w:t>（</w:t>
            </w:r>
            <w:r>
              <w:rPr>
                <w:sz w:val="21"/>
              </w:rPr>
              <w:t>10）网络协调控制：中央算法协调多个路口相位差运行。</w:t>
            </w:r>
          </w:p>
          <w:p>
            <w:pPr>
              <w:pStyle w:val="null3"/>
              <w:jc w:val="both"/>
            </w:pPr>
            <w:r>
              <w:rPr>
                <w:sz w:val="21"/>
              </w:rPr>
              <w:t>4.输入/输出接口</w:t>
            </w:r>
          </w:p>
          <w:p>
            <w:pPr>
              <w:pStyle w:val="null3"/>
              <w:jc w:val="both"/>
            </w:pPr>
            <w:r>
              <w:rPr>
                <w:sz w:val="21"/>
              </w:rPr>
              <w:t>（</w:t>
            </w:r>
            <w:r>
              <w:rPr>
                <w:sz w:val="21"/>
              </w:rPr>
              <w:t>1）信号灯输出接口：至少提供48路独立的信号灯控制输出接口，且可任意设置信号相位。</w:t>
            </w:r>
          </w:p>
          <w:p>
            <w:pPr>
              <w:pStyle w:val="null3"/>
              <w:jc w:val="both"/>
            </w:pPr>
            <w:r>
              <w:rPr>
                <w:sz w:val="21"/>
              </w:rPr>
              <w:t>（</w:t>
            </w:r>
            <w:r>
              <w:rPr>
                <w:sz w:val="21"/>
              </w:rPr>
              <w:t>2）中央联网接口：接口标准为RJ45和无线网络接入。</w:t>
            </w:r>
          </w:p>
          <w:p>
            <w:pPr>
              <w:pStyle w:val="null3"/>
              <w:jc w:val="both"/>
            </w:pPr>
            <w:r>
              <w:rPr>
                <w:sz w:val="21"/>
              </w:rPr>
              <w:t>（</w:t>
            </w:r>
            <w:r>
              <w:rPr>
                <w:sz w:val="21"/>
              </w:rPr>
              <w:t>3）交通数据采集接口：8路RS-485和8路RS-422，方便多种设备接入。</w:t>
            </w:r>
          </w:p>
          <w:p>
            <w:pPr>
              <w:pStyle w:val="null3"/>
              <w:jc w:val="both"/>
            </w:pPr>
            <w:r>
              <w:rPr>
                <w:sz w:val="21"/>
              </w:rPr>
              <w:t>（</w:t>
            </w:r>
            <w:r>
              <w:rPr>
                <w:sz w:val="21"/>
              </w:rPr>
              <w:t>4）参数配置接口：提供通过笔记本等工具进行参数配置的数据接口，接口标准为 RJ45。</w:t>
            </w:r>
          </w:p>
          <w:p>
            <w:pPr>
              <w:pStyle w:val="null3"/>
              <w:jc w:val="both"/>
            </w:pPr>
            <w:r>
              <w:rPr>
                <w:sz w:val="21"/>
              </w:rPr>
              <w:t>5.人机交互</w:t>
            </w:r>
          </w:p>
          <w:p>
            <w:pPr>
              <w:pStyle w:val="null3"/>
              <w:jc w:val="both"/>
            </w:pPr>
            <w:r>
              <w:rPr>
                <w:sz w:val="21"/>
              </w:rPr>
              <w:t>（</w:t>
            </w:r>
            <w:r>
              <w:rPr>
                <w:sz w:val="21"/>
              </w:rPr>
              <w:t>1）信号机应能够通过手提电脑进行相位配时的设置、控制参数的调整；应提供基于WINDOWS 系统的参数配置软件。</w:t>
            </w:r>
          </w:p>
          <w:p>
            <w:pPr>
              <w:pStyle w:val="null3"/>
              <w:jc w:val="both"/>
            </w:pPr>
            <w:r>
              <w:rPr>
                <w:sz w:val="21"/>
              </w:rPr>
              <w:t>（</w:t>
            </w:r>
            <w:r>
              <w:rPr>
                <w:sz w:val="21"/>
              </w:rPr>
              <w:t>2）提供手动跳相装置，实现快捷放行相应相位。</w:t>
            </w:r>
          </w:p>
          <w:p>
            <w:pPr>
              <w:pStyle w:val="null3"/>
              <w:jc w:val="both"/>
            </w:pPr>
            <w:r>
              <w:rPr>
                <w:sz w:val="21"/>
              </w:rPr>
              <w:t>6.安全性</w:t>
            </w:r>
          </w:p>
          <w:p>
            <w:pPr>
              <w:pStyle w:val="null3"/>
              <w:jc w:val="both"/>
            </w:pPr>
            <w:r>
              <w:rPr>
                <w:sz w:val="21"/>
              </w:rPr>
              <w:t>（</w:t>
            </w:r>
            <w:r>
              <w:rPr>
                <w:sz w:val="21"/>
              </w:rPr>
              <w:t>1）有效的防雷措施：信号机电源输入端、灯控信号输出端、及数据接口端必须配备避雷装置或采取避雷措施。</w:t>
            </w:r>
          </w:p>
          <w:p>
            <w:pPr>
              <w:pStyle w:val="null3"/>
              <w:jc w:val="both"/>
            </w:pPr>
            <w:r>
              <w:rPr>
                <w:sz w:val="21"/>
              </w:rPr>
              <w:t>1）电源输入端的防雷指标应满足：</w:t>
            </w:r>
          </w:p>
          <w:p>
            <w:pPr>
              <w:pStyle w:val="null3"/>
              <w:jc w:val="both"/>
            </w:pPr>
            <w:r>
              <w:rPr>
                <w:sz w:val="21"/>
              </w:rPr>
              <w:t>2）标称工作电压Un：单相220V；</w:t>
            </w:r>
          </w:p>
          <w:p>
            <w:pPr>
              <w:pStyle w:val="null3"/>
              <w:jc w:val="both"/>
            </w:pPr>
            <w:r>
              <w:rPr>
                <w:sz w:val="21"/>
              </w:rPr>
              <w:t>3）最大持续运行电压Uc：385V；</w:t>
            </w:r>
          </w:p>
          <w:p>
            <w:pPr>
              <w:pStyle w:val="null3"/>
              <w:jc w:val="both"/>
            </w:pPr>
            <w:r>
              <w:rPr>
                <w:sz w:val="21"/>
              </w:rPr>
              <w:t>4）标称放电电流In：20kA（8/20μs）；</w:t>
            </w:r>
          </w:p>
          <w:p>
            <w:pPr>
              <w:pStyle w:val="null3"/>
              <w:jc w:val="both"/>
            </w:pPr>
            <w:r>
              <w:rPr>
                <w:sz w:val="21"/>
              </w:rPr>
              <w:t>5）最大放电电流Imax：40kA（8/20μs）；</w:t>
            </w:r>
          </w:p>
          <w:p>
            <w:pPr>
              <w:pStyle w:val="null3"/>
              <w:jc w:val="both"/>
            </w:pPr>
            <w:r>
              <w:rPr>
                <w:sz w:val="21"/>
              </w:rPr>
              <w:t>6）保护水平Up（8/20μs）≤1.5KV；</w:t>
            </w:r>
          </w:p>
          <w:p>
            <w:pPr>
              <w:pStyle w:val="null3"/>
              <w:jc w:val="both"/>
            </w:pPr>
            <w:r>
              <w:rPr>
                <w:sz w:val="21"/>
              </w:rPr>
              <w:t>7）响应时间：≤25ns。</w:t>
            </w:r>
          </w:p>
          <w:p>
            <w:pPr>
              <w:pStyle w:val="null3"/>
              <w:jc w:val="both"/>
            </w:pPr>
            <w:r>
              <w:rPr>
                <w:sz w:val="21"/>
              </w:rPr>
              <w:t>8）数据接口端的防雷指标应满足：</w:t>
            </w:r>
          </w:p>
          <w:p>
            <w:pPr>
              <w:pStyle w:val="null3"/>
              <w:jc w:val="both"/>
            </w:pPr>
            <w:r>
              <w:rPr>
                <w:sz w:val="21"/>
              </w:rPr>
              <w:t>9）标称工作电压Un：DC 5V；</w:t>
            </w:r>
          </w:p>
          <w:p>
            <w:pPr>
              <w:pStyle w:val="null3"/>
              <w:jc w:val="both"/>
            </w:pPr>
            <w:r>
              <w:rPr>
                <w:sz w:val="21"/>
              </w:rPr>
              <w:t>10）标称放电电流 In：3kA（8/20μs）；</w:t>
            </w:r>
          </w:p>
          <w:p>
            <w:pPr>
              <w:pStyle w:val="null3"/>
              <w:jc w:val="both"/>
            </w:pPr>
            <w:r>
              <w:rPr>
                <w:sz w:val="21"/>
              </w:rPr>
              <w:t>11）保护水平 Up（8/20μs）≤20V；</w:t>
            </w:r>
          </w:p>
          <w:p>
            <w:pPr>
              <w:pStyle w:val="null3"/>
              <w:jc w:val="both"/>
            </w:pPr>
            <w:r>
              <w:rPr>
                <w:sz w:val="21"/>
              </w:rPr>
              <w:t>12）响应时间：≤25ns；</w:t>
            </w:r>
          </w:p>
          <w:p>
            <w:pPr>
              <w:pStyle w:val="null3"/>
              <w:jc w:val="both"/>
            </w:pPr>
            <w:r>
              <w:rPr>
                <w:sz w:val="21"/>
              </w:rPr>
              <w:t>13）安装方式：串接于线路端与设备端之间。</w:t>
            </w:r>
          </w:p>
          <w:p>
            <w:pPr>
              <w:pStyle w:val="null3"/>
              <w:jc w:val="both"/>
            </w:pPr>
            <w:r>
              <w:rPr>
                <w:sz w:val="21"/>
              </w:rPr>
              <w:t>（</w:t>
            </w:r>
            <w:r>
              <w:rPr>
                <w:sz w:val="21"/>
              </w:rPr>
              <w:t>2）过载、短路保护措施：信号机应配置具备过载、短路保护功能的电源总空气开关、信号灯驱动输出回路空气开关、自身设备用电空气开关及外设用电空气开关，相关指标符合应用要求；至少在总供电回路、自身设备供电回路、每一个信号灯驱动输出回路中安装快速熔断器，相关指标符合应用要求。</w:t>
            </w:r>
          </w:p>
          <w:p>
            <w:pPr>
              <w:pStyle w:val="null3"/>
              <w:jc w:val="both"/>
            </w:pPr>
            <w:r>
              <w:rPr>
                <w:sz w:val="21"/>
              </w:rPr>
              <w:t>（</w:t>
            </w:r>
            <w:r>
              <w:rPr>
                <w:sz w:val="21"/>
              </w:rPr>
              <w:t>3）操作安全措施：强电接线部与弱电接线部应物理分离，以提高操作的安全性；灯控信号组输出端的接线端子应符合 220V 3A 的最低容量要求。</w:t>
            </w:r>
          </w:p>
          <w:p>
            <w:pPr>
              <w:pStyle w:val="null3"/>
              <w:jc w:val="both"/>
            </w:pPr>
            <w:r>
              <w:rPr>
                <w:sz w:val="21"/>
              </w:rPr>
              <w:t>（</w:t>
            </w:r>
            <w:r>
              <w:rPr>
                <w:sz w:val="21"/>
              </w:rPr>
              <w:t>4）电气安全：信号机应满足如下指标要求：</w:t>
            </w:r>
          </w:p>
          <w:p>
            <w:pPr>
              <w:pStyle w:val="null3"/>
              <w:jc w:val="both"/>
            </w:pPr>
            <w:r>
              <w:rPr>
                <w:sz w:val="21"/>
              </w:rPr>
              <w:t>1）电源适应性：AV 220V±44V，50Hz±2Hz；</w:t>
            </w:r>
          </w:p>
          <w:p>
            <w:pPr>
              <w:pStyle w:val="null3"/>
              <w:jc w:val="both"/>
            </w:pPr>
            <w:r>
              <w:rPr>
                <w:sz w:val="21"/>
              </w:rPr>
              <w:t>2）绝缘：不小于10MΩ;</w:t>
            </w:r>
          </w:p>
          <w:p>
            <w:pPr>
              <w:pStyle w:val="null3"/>
              <w:jc w:val="both"/>
            </w:pPr>
            <w:r>
              <w:rPr>
                <w:sz w:val="21"/>
              </w:rPr>
              <w:t>3）耐压：1500V，50Hz；</w:t>
            </w:r>
          </w:p>
          <w:p>
            <w:pPr>
              <w:pStyle w:val="null3"/>
              <w:jc w:val="both"/>
            </w:pPr>
            <w:r>
              <w:rPr>
                <w:sz w:val="21"/>
              </w:rPr>
              <w:t>4）整机耗电：不大于40W（不含信号灯耗能）。</w:t>
            </w:r>
          </w:p>
          <w:p>
            <w:pPr>
              <w:pStyle w:val="null3"/>
              <w:jc w:val="both"/>
            </w:pPr>
            <w:r>
              <w:rPr>
                <w:sz w:val="21"/>
              </w:rPr>
              <w:t>（</w:t>
            </w:r>
            <w:r>
              <w:rPr>
                <w:sz w:val="21"/>
              </w:rPr>
              <w:t>5）环境适应性：信号机应满足如下环境指标：</w:t>
            </w:r>
          </w:p>
          <w:p>
            <w:pPr>
              <w:pStyle w:val="null3"/>
              <w:jc w:val="both"/>
            </w:pPr>
            <w:r>
              <w:rPr>
                <w:sz w:val="21"/>
              </w:rPr>
              <w:t>1）工作温度：-20~70℃;</w:t>
            </w:r>
          </w:p>
          <w:p>
            <w:pPr>
              <w:pStyle w:val="null3"/>
              <w:jc w:val="both"/>
            </w:pPr>
            <w:r>
              <w:rPr>
                <w:sz w:val="21"/>
              </w:rPr>
              <w:t>2）工作湿度：20~95%。</w:t>
            </w:r>
          </w:p>
          <w:p>
            <w:pPr>
              <w:pStyle w:val="null3"/>
              <w:jc w:val="both"/>
            </w:pPr>
            <w:r>
              <w:rPr>
                <w:sz w:val="21"/>
              </w:rPr>
              <w:t>（</w:t>
            </w:r>
            <w:r>
              <w:rPr>
                <w:sz w:val="21"/>
              </w:rPr>
              <w:t>6）硬件</w:t>
            </w:r>
          </w:p>
          <w:p>
            <w:pPr>
              <w:pStyle w:val="null3"/>
              <w:jc w:val="both"/>
            </w:pPr>
            <w:r>
              <w:rPr>
                <w:sz w:val="21"/>
              </w:rPr>
              <w:t>1）信号机采用模块化设计</w:t>
            </w:r>
          </w:p>
          <w:p>
            <w:pPr>
              <w:pStyle w:val="null3"/>
              <w:jc w:val="both"/>
            </w:pPr>
            <w:r>
              <w:rPr>
                <w:sz w:val="21"/>
              </w:rPr>
              <w:t>信号机采用模块化设计，更换电路板方便。信号机的主要单元分为：电源单元（含交流和直流电源）、控制器单元、故障检测单元、车辆行人检测器单元、灯控信号输出单元、通信接口单元、时钟单元、附加设施（照明装置、风扇系统等）。</w:t>
            </w:r>
          </w:p>
          <w:p>
            <w:pPr>
              <w:pStyle w:val="null3"/>
              <w:jc w:val="both"/>
            </w:pPr>
            <w:r>
              <w:rPr>
                <w:sz w:val="21"/>
              </w:rPr>
              <w:t>2）标准插箱背板式结构设计</w:t>
            </w:r>
          </w:p>
          <w:p>
            <w:pPr>
              <w:pStyle w:val="null3"/>
              <w:jc w:val="both"/>
            </w:pPr>
            <w:r>
              <w:rPr>
                <w:sz w:val="21"/>
              </w:rPr>
              <w:t>信号机采用插箱结构，各板卡支持热插拔。</w:t>
            </w:r>
          </w:p>
          <w:p>
            <w:pPr>
              <w:pStyle w:val="null3"/>
              <w:jc w:val="both"/>
            </w:pPr>
            <w:r>
              <w:rPr>
                <w:sz w:val="21"/>
              </w:rPr>
              <w:t>3）双中央微处理器（CPU）</w:t>
            </w:r>
          </w:p>
          <w:p>
            <w:pPr>
              <w:pStyle w:val="null3"/>
              <w:jc w:val="both"/>
            </w:pPr>
            <w:r>
              <w:rPr>
                <w:sz w:val="21"/>
              </w:rPr>
              <w:t>主控板采用</w:t>
            </w:r>
            <w:r>
              <w:rPr>
                <w:sz w:val="21"/>
              </w:rPr>
              <w:t>32 位以上微处理器，CPU主频≥400MHz；降级板主频≥60MHz 。主控板故障降级可平滑控制灯色运行。</w:t>
            </w:r>
          </w:p>
          <w:p>
            <w:pPr>
              <w:pStyle w:val="null3"/>
              <w:jc w:val="both"/>
            </w:pPr>
            <w:r>
              <w:rPr>
                <w:sz w:val="21"/>
              </w:rPr>
              <w:t>4）存储容量</w:t>
            </w:r>
          </w:p>
          <w:p>
            <w:pPr>
              <w:pStyle w:val="null3"/>
              <w:jc w:val="both"/>
            </w:pPr>
            <w:r>
              <w:rPr>
                <w:sz w:val="21"/>
              </w:rPr>
              <w:t>存储容量</w:t>
            </w:r>
            <w:r>
              <w:rPr>
                <w:sz w:val="21"/>
              </w:rPr>
              <w:t>≥256MB；</w:t>
            </w:r>
          </w:p>
          <w:p>
            <w:pPr>
              <w:pStyle w:val="null3"/>
              <w:jc w:val="both"/>
            </w:pPr>
            <w:r>
              <w:rPr>
                <w:sz w:val="21"/>
              </w:rPr>
              <w:t>5）相位需求</w:t>
            </w:r>
          </w:p>
          <w:p>
            <w:pPr>
              <w:pStyle w:val="null3"/>
              <w:jc w:val="both"/>
            </w:pPr>
            <w:r>
              <w:rPr>
                <w:sz w:val="21"/>
              </w:rPr>
              <w:t>交通信号控制机最大驱动</w:t>
            </w:r>
            <w:r>
              <w:rPr>
                <w:sz w:val="21"/>
              </w:rPr>
              <w:t>6块相位板，16个标准相位+8个跟随相位，最大72个灯控端子；</w:t>
            </w:r>
          </w:p>
          <w:p>
            <w:pPr>
              <w:pStyle w:val="null3"/>
              <w:jc w:val="both"/>
            </w:pPr>
            <w:r>
              <w:rPr>
                <w:sz w:val="21"/>
              </w:rPr>
              <w:t>6）时钟校正需求</w:t>
            </w:r>
          </w:p>
          <w:p>
            <w:pPr>
              <w:pStyle w:val="null3"/>
              <w:jc w:val="both"/>
            </w:pPr>
            <w:r>
              <w:rPr>
                <w:sz w:val="21"/>
              </w:rPr>
              <w:t>接收并执行中心校时命令，并具备</w:t>
            </w:r>
            <w:r>
              <w:rPr>
                <w:sz w:val="21"/>
              </w:rPr>
              <w:t>GPS校时模块，供断网时校时。</w:t>
            </w:r>
          </w:p>
          <w:p>
            <w:pPr>
              <w:pStyle w:val="null3"/>
              <w:jc w:val="both"/>
            </w:pPr>
            <w:r>
              <w:rPr>
                <w:sz w:val="21"/>
              </w:rPr>
              <w:t>7）供电需求</w:t>
            </w:r>
          </w:p>
          <w:p>
            <w:pPr>
              <w:pStyle w:val="null3"/>
              <w:jc w:val="both"/>
            </w:pPr>
            <w:r>
              <w:rPr>
                <w:sz w:val="21"/>
              </w:rPr>
              <w:t>交通信号控制机电源额定电压：</w:t>
            </w:r>
            <w:r>
              <w:rPr>
                <w:sz w:val="21"/>
              </w:rPr>
              <w:t>AC220V±44V，50Hz±2Hz ，机柜内安装两个标准 AC 220V 电源备用插座；</w:t>
            </w:r>
          </w:p>
          <w:p>
            <w:pPr>
              <w:pStyle w:val="null3"/>
              <w:jc w:val="both"/>
            </w:pPr>
            <w:r>
              <w:rPr>
                <w:sz w:val="21"/>
              </w:rPr>
              <w:t>8）电气需求</w:t>
            </w:r>
          </w:p>
          <w:p>
            <w:pPr>
              <w:pStyle w:val="null3"/>
              <w:jc w:val="both"/>
            </w:pPr>
            <w:r>
              <w:rPr>
                <w:sz w:val="21"/>
              </w:rPr>
              <w:t>交通信号控制机每路的最大驱动功率为：</w:t>
            </w:r>
            <w:r>
              <w:rPr>
                <w:sz w:val="21"/>
              </w:rPr>
              <w:t>800W；</w:t>
            </w:r>
          </w:p>
          <w:p>
            <w:pPr>
              <w:pStyle w:val="null3"/>
              <w:jc w:val="both"/>
            </w:pPr>
            <w:r>
              <w:rPr>
                <w:sz w:val="21"/>
              </w:rPr>
              <w:t>交通信号控制机整机功耗为：</w:t>
            </w:r>
            <w:r>
              <w:rPr>
                <w:sz w:val="21"/>
              </w:rPr>
              <w:t>≦100W；</w:t>
            </w:r>
          </w:p>
          <w:p>
            <w:pPr>
              <w:pStyle w:val="null3"/>
              <w:jc w:val="both"/>
            </w:pPr>
            <w:r>
              <w:rPr>
                <w:sz w:val="21"/>
              </w:rPr>
              <w:t>交通信号控制机正常的工作温度：</w:t>
            </w:r>
            <w:r>
              <w:rPr>
                <w:sz w:val="21"/>
              </w:rPr>
              <w:t>-20～＋70℃;</w:t>
            </w:r>
          </w:p>
          <w:p>
            <w:pPr>
              <w:pStyle w:val="null3"/>
              <w:jc w:val="both"/>
            </w:pPr>
            <w:r>
              <w:rPr>
                <w:sz w:val="21"/>
              </w:rPr>
              <w:t>交通信号控制机正常工作的相对湿度：</w:t>
            </w:r>
            <w:r>
              <w:rPr>
                <w:sz w:val="21"/>
              </w:rPr>
              <w:t>45%～90%（不结露）；</w:t>
            </w:r>
          </w:p>
          <w:p>
            <w:pPr>
              <w:pStyle w:val="null3"/>
              <w:jc w:val="both"/>
            </w:pPr>
            <w:r>
              <w:rPr>
                <w:sz w:val="21"/>
              </w:rPr>
              <w:t>9）绝缘电阻</w:t>
            </w:r>
          </w:p>
          <w:p>
            <w:pPr>
              <w:pStyle w:val="null3"/>
              <w:jc w:val="both"/>
            </w:pPr>
            <w:r>
              <w:rPr>
                <w:sz w:val="21"/>
              </w:rPr>
              <w:t>信号机绝缘电阻大于</w:t>
            </w:r>
            <w:r>
              <w:rPr>
                <w:sz w:val="21"/>
              </w:rPr>
              <w:t>10M Ω。</w:t>
            </w:r>
          </w:p>
          <w:p>
            <w:pPr>
              <w:pStyle w:val="null3"/>
              <w:jc w:val="both"/>
            </w:pPr>
            <w:r>
              <w:rPr>
                <w:sz w:val="21"/>
              </w:rPr>
              <w:t>10）耐压</w:t>
            </w:r>
          </w:p>
          <w:p>
            <w:pPr>
              <w:pStyle w:val="null3"/>
              <w:jc w:val="both"/>
            </w:pPr>
            <w:r>
              <w:rPr>
                <w:sz w:val="21"/>
              </w:rPr>
              <w:t>在电源电极或与电源电极相连的其它导电电路和机柜、安装机箱等易触及部件之间施加</w:t>
            </w:r>
            <w:r>
              <w:rPr>
                <w:sz w:val="21"/>
              </w:rPr>
              <w:t>1500V 、50Hz电压，不出现击穿现象。</w:t>
            </w:r>
          </w:p>
          <w:p>
            <w:pPr>
              <w:pStyle w:val="null3"/>
              <w:jc w:val="both"/>
            </w:pPr>
            <w:r>
              <w:rPr>
                <w:sz w:val="21"/>
              </w:rPr>
              <w:t>11）电磁抗扰度</w:t>
            </w:r>
          </w:p>
          <w:p>
            <w:pPr>
              <w:pStyle w:val="null3"/>
              <w:jc w:val="both"/>
            </w:pPr>
            <w:r>
              <w:rPr>
                <w:sz w:val="21"/>
              </w:rPr>
              <w:t>交通信号控制机在一定的静电放电、电快速瞬变脉冲群、浪涌、电压短时中断等电磁骚扰环境下不出现电气故障。</w:t>
            </w:r>
          </w:p>
          <w:p>
            <w:pPr>
              <w:pStyle w:val="null3"/>
              <w:jc w:val="both"/>
            </w:pPr>
            <w:r>
              <w:rPr>
                <w:sz w:val="21"/>
              </w:rPr>
              <w:t>（</w:t>
            </w:r>
            <w:r>
              <w:rPr>
                <w:sz w:val="21"/>
              </w:rPr>
              <w:t>7）其他要求</w:t>
            </w:r>
          </w:p>
          <w:p>
            <w:pPr>
              <w:pStyle w:val="null3"/>
            </w:pPr>
            <w:r>
              <w:rPr>
                <w:sz w:val="21"/>
              </w:rPr>
              <w:t>信号机结构性能所涉及的项目内容要求，以《</w:t>
            </w:r>
            <w:r>
              <w:rPr>
                <w:sz w:val="21"/>
              </w:rPr>
              <w:t>GB 25280—2016 道路交通信号控制机》标准中“物理结构性能”要求为准；信号机文字、图形及标志符号要求所涉及的项目内容要求，以《GB 25280—2016 道路交通信号控制机》标准中“文字、图形及标志符号要求”为准。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1.采购代理机构：本项目是指广东康嘉阳实业有限公司，负责整个采购活动的组织，依法负责编制和发布招标文件，对招标文件拥有最终的解释权，不以任何身份出任评标委员会成员。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丰顺县公安局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布《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规定的标准收取。差额定率累进法收费：以中标（成交）金额作为服务费的计算基数。</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项目类型，货物类</w:t>
            </w:r>
          </w:p>
          <w:p>
            <w:pPr>
              <w:pStyle w:val="null3"/>
              <w:jc w:val="left"/>
            </w:pPr>
            <w:r>
              <w:rPr/>
              <w:t>需要落实的政府采购政策，《关于调整优化节能产品、环境标志产品政府采购执行机制的通知》财库〔2019〕9号、《转发财政部发展改革委生态环境部市场监管总局关于调整优化节能产品环境标志产品政府采购执行机制的通知》粤财采购[2019]1号、《政府采购促进中小企业发展管理办法》（财库〔2020〕46号）、关于政府采购支持监狱企业发展有关问题的通知》(财库〔2014〕68号)、《关于促进残疾人就业政府采购政策的通知》（财库〔2017〕141号)、《关于印发商品包装政府采购需求标准（试行）、快递包装政府采购需求标准（试行）的通知》（财办库〔2020〕123号）、《关于进一步深化小微企业金融服务的意见》（银发〔2018〕162号）、《关于印发〈广东省支持中小企业融资的若干政策措施〉的通知》（粤金监〔2019〕58号）、《关于开展市级政府采购合同融资工作的通知》（梅市财采管〔2021〕3号）</w:t>
            </w:r>
          </w:p>
          <w:p>
            <w:pPr>
              <w:pStyle w:val="null3"/>
              <w:jc w:val="left"/>
            </w:pPr>
            <w:r>
              <w:rPr/>
              <w:t>其他，供应商应对项目内所有的内容进行投标，不允许只对其中部分内容进行投标</w:t>
            </w:r>
          </w:p>
          <w:p>
            <w:pPr>
              <w:pStyle w:val="null3"/>
              <w:jc w:val="left"/>
            </w:pPr>
            <w:r>
              <w:rPr/>
              <w:t>强化政府采购异常低价审查，（1）政府采购评审中出现下列情形之一的，评审委员会应当启动异常低价投标（响应）审查程序：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⑤采购人可以结合具体项目实际情况，提高上述第1项至第3项中启动异常低价投标（响应）审查的数值标准，但是最高不得超过65%。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广东康嘉阳实业有限公司</w:t>
      </w:r>
      <w:r>
        <w:rPr/>
        <w:t>代收。具体操作要求详见</w:t>
      </w:r>
      <w:r>
        <w:rPr/>
        <w:t>广东康嘉阳实业有限公司</w:t>
      </w:r>
      <w:r>
        <w:rPr/>
        <w:t>有关指引，递交事宜请自行咨询</w:t>
      </w:r>
      <w:r>
        <w:rPr/>
        <w:t>广东康嘉阳实业有限公司</w:t>
      </w:r>
      <w:r>
        <w:rPr/>
        <w:t>；请各投标人在投标文件递交截止时间前按须知前附表规定的金额递交至</w:t>
      </w:r>
      <w:r>
        <w:rPr/>
        <w:t>广东康嘉阳实业有限公司</w:t>
      </w:r>
      <w:r>
        <w:rPr/>
        <w:t>，到账情况以开标时</w:t>
      </w:r>
      <w:r>
        <w:rPr/>
        <w:t>广东康嘉阳实业有限公司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廖工</w:t>
      </w:r>
    </w:p>
    <w:p>
      <w:pPr>
        <w:pStyle w:val="null3"/>
        <w:ind w:firstLine="480"/>
      </w:pPr>
      <w:r>
        <w:rPr/>
        <w:t>电话：</w:t>
      </w:r>
      <w:r>
        <w:rPr/>
        <w:t>13824582059</w:t>
      </w:r>
    </w:p>
    <w:p>
      <w:pPr>
        <w:pStyle w:val="null3"/>
        <w:ind w:firstLine="480"/>
      </w:pPr>
      <w:r>
        <w:rPr/>
        <w:t>传真：</w:t>
      </w:r>
      <w:r>
        <w:rPr/>
        <w:t>/</w:t>
      </w:r>
    </w:p>
    <w:p>
      <w:pPr>
        <w:pStyle w:val="null3"/>
        <w:ind w:firstLine="480"/>
      </w:pPr>
      <w:r>
        <w:rPr/>
        <w:t>邮箱：</w:t>
      </w:r>
      <w:r>
        <w:rPr/>
        <w:t>gdkjy2019@163.com</w:t>
      </w:r>
    </w:p>
    <w:p>
      <w:pPr>
        <w:pStyle w:val="null3"/>
        <w:ind w:firstLine="480"/>
      </w:pPr>
      <w:r>
        <w:rPr/>
        <w:t>地址：</w:t>
      </w:r>
      <w:r>
        <w:rPr/>
        <w:t>梅州市梅江区火车站东侧义乌小商品批发中心A栋1507商业</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科技路口和丰达路口建设交通信号灯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广东康嘉阳实业有限公司</w:t>
      </w:r>
      <w:r>
        <w:rPr/>
        <w:t>统一对外发布。</w:t>
      </w:r>
    </w:p>
    <w:p>
      <w:pPr>
        <w:pStyle w:val="null3"/>
        <w:ind w:firstLine="480"/>
      </w:pPr>
      <w:r>
        <w:rPr/>
        <w:t>（2）对</w:t>
      </w:r>
      <w:r>
        <w:rPr/>
        <w:t>广东康嘉阳实业有限公司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采购包1（科技路口和丰达路口建设交通信号灯项目）：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采购包1（科技路口和丰达路口建设交通信号灯项目）：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有效的营业执照（或事业法人登记证或身份证等相关证明）副本扫描件。如分公司或分支机构参与投标的必须具有总公司或上级机构出具的合法授权书（有效范围、有效时间内出具的授权书，多层授权关系证明文件须明晰并加盖相应授权公司公章），并同时提供总公司或上级机构的营业执照扫描件，分公司或分支机构可使用其总公司或上级机构的财务状况、人员信息、公司资质等资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政府采购供应商资格信用承诺函》格式详见招标公告相关附件（注：供应商未按要求提供《政府采购供应商资格信用承诺函》的，应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政府采购供应商资格信用承诺函》格式详见招标公告相关附件（注：供应商未按要求提供《政府采购供应商资格信用承诺函》的，应提供2024年度或2025年度财务审计报告或自本公告发布之日起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政府采购供应商资格信用承诺函》格式详见招标公告相关附件（注：供应商未按要求提供《政府采购供应商资格信用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采购包1（科技路口和丰达路口建设交通信号灯项目）：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投标有效期是否为投标截止日起不少于90日。</w:t>
            </w:r>
          </w:p>
        </w:tc>
      </w:tr>
      <w:tr>
        <w:tc>
          <w:tcPr>
            <w:tcW w:type="dxa" w:w="890"/>
          </w:tcPr>
          <w:p>
            <w:pPr>
              <w:pStyle w:val="null3"/>
            </w:pPr>
            <w:r>
              <w:rPr/>
              <w:t>2</w:t>
            </w:r>
          </w:p>
        </w:tc>
        <w:tc>
          <w:tcPr>
            <w:tcW w:type="dxa" w:w="3178"/>
          </w:tcPr>
          <w:p>
            <w:pPr>
              <w:pStyle w:val="null3"/>
            </w:pPr>
            <w:r>
              <w:rPr/>
              <w:t>是否提交有效的法定代表人/负责人资格证明书、授权委托书</w:t>
            </w:r>
          </w:p>
        </w:tc>
        <w:tc>
          <w:tcPr>
            <w:tcW w:type="dxa" w:w="4238"/>
          </w:tcPr>
          <w:p>
            <w:pPr>
              <w:pStyle w:val="null3"/>
            </w:pPr>
            <w:r>
              <w:rPr/>
              <w:t>是否提交有效的法定代表人/负责人资格证明书、授权委托书 （若法定代表人/负责人投标的提供有效的法定代表人/负责人证明书；授权代表投标的，提供有效的法定代表人/负责人证明书及授权委托书）。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投标报价是否固定唯一价且投标报价未超过该采购包预算金额。</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若评审委员会认为投标人的报价明显低于其他通过符合性审查投标人的报价，可能影响产品质量或者不能诚信履约的，投标人能做出合理说明的。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是否满足招标文件带“★”号实质性条款。</w:t>
            </w:r>
          </w:p>
        </w:tc>
      </w:tr>
      <w:tr>
        <w:tc>
          <w:tcPr>
            <w:tcW w:type="dxa" w:w="890"/>
          </w:tcPr>
          <w:p>
            <w:pPr>
              <w:pStyle w:val="null3"/>
            </w:pPr>
            <w:r>
              <w:rPr/>
              <w:t>6</w:t>
            </w:r>
          </w:p>
        </w:tc>
        <w:tc>
          <w:tcPr>
            <w:tcW w:type="dxa" w:w="3178"/>
          </w:tcPr>
          <w:p>
            <w:pPr>
              <w:pStyle w:val="null3"/>
            </w:pPr>
            <w:r>
              <w:rPr/>
              <w:t>签署、盖章要求</w:t>
            </w:r>
          </w:p>
        </w:tc>
        <w:tc>
          <w:tcPr>
            <w:tcW w:type="dxa" w:w="4238"/>
          </w:tcPr>
          <w:p>
            <w:pPr>
              <w:pStyle w:val="null3"/>
            </w:pPr>
            <w:r>
              <w:rPr/>
              <w:t>投标文件是否符合招标文件的签署、盖章要求。</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投标文件没有招标文件中规定的其他无效投标条款且无经评委认定为无效投标的。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采购包1(科技路口和丰达路口建设交通信号灯项目):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“▲”号重点技术参数响应程度 (30.0分)</w:t>
            </w:r>
          </w:p>
        </w:tc>
        <w:tc>
          <w:tcPr>
            <w:tcW w:type="dxa" w:w="5076"/>
          </w:tcPr>
          <w:p>
            <w:pPr>
              <w:pStyle w:val="null3"/>
              <w:jc w:val="left"/>
            </w:pPr>
            <w:r>
              <w:rPr/>
              <w:t>根据供应商对“具体技术(参数)要求”中标有“▲”号技术条款10项响应程度进行评审： 无偏离或正偏离重点技术参数的，每一项得3分，最高得30分。 注：按招标文件要求提供相关证明文件，无提供不得分。</w:t>
            </w:r>
          </w:p>
        </w:tc>
      </w:tr>
      <w:tr>
        <w:tc>
          <w:tcPr>
            <w:tcW w:type="dxa" w:w="922"/>
            <w:gridSpan w:val="2"/>
            <w:vMerge/>
          </w:tcPr>
          <w:p/>
        </w:tc>
        <w:tc>
          <w:tcPr>
            <w:tcW w:type="dxa" w:w="2307"/>
          </w:tcPr>
          <w:p>
            <w:pPr>
              <w:pStyle w:val="null3"/>
              <w:jc w:val="left"/>
            </w:pPr>
            <w:r>
              <w:rPr/>
              <w:t>技术响应程度 (3.0分)</w:t>
            </w:r>
          </w:p>
        </w:tc>
        <w:tc>
          <w:tcPr>
            <w:tcW w:type="dxa" w:w="5076"/>
          </w:tcPr>
          <w:p>
            <w:pPr>
              <w:pStyle w:val="null3"/>
              <w:jc w:val="left"/>
            </w:pPr>
            <w:r>
              <w:rPr/>
              <w:t>由评委根据招标文件中的“具体技术(参数)要求”进行评审： 1、完全满足或优于招标文件要求的，得3分； 2、有1-2项负偏离的，得2分； 3、有3-4项负偏离的，得1分； 4、有5项或以上负偏离的，得0分。</w:t>
            </w:r>
          </w:p>
        </w:tc>
      </w:tr>
      <w:tr>
        <w:tc>
          <w:tcPr>
            <w:tcW w:type="dxa" w:w="922"/>
            <w:gridSpan w:val="2"/>
            <w:vMerge/>
          </w:tcPr>
          <w:p/>
        </w:tc>
        <w:tc>
          <w:tcPr>
            <w:tcW w:type="dxa" w:w="2307"/>
          </w:tcPr>
          <w:p>
            <w:pPr>
              <w:pStyle w:val="null3"/>
              <w:jc w:val="left"/>
            </w:pPr>
            <w:r>
              <w:rPr/>
              <w:t>技术方案 (7.0分)</w:t>
            </w:r>
          </w:p>
        </w:tc>
        <w:tc>
          <w:tcPr>
            <w:tcW w:type="dxa" w:w="5076"/>
          </w:tcPr>
          <w:p>
            <w:pPr>
              <w:pStyle w:val="null3"/>
              <w:jc w:val="left"/>
            </w:pPr>
            <w:r>
              <w:rPr/>
              <w:t>供应商根据“第二章 采购需求”提供技术方案，包括但不限于①交通信号控制系统（信号机及信号灯）、②高清电子警察系统、③CCTV闭路电视系统，进行评分： 1.施工技术方案中交通信号控制系统（信号机及信号灯）、高清电子警察系统、CCTV闭路电视系统等制安专项技术方案最合理、最完整，优于或完全满足需求，得7分； 2.施工技术方案中交通信号控制系统（信号机及信号灯）、高清电子警察系统、CCTV闭路电视系统等制安专项技术方案较合理、较完整，基本满足采购需求，得4分； 3.施工技术方案中交通信号控制系统（信号机及信号灯）、高清电子警察系统、CCTV闭路电视系统等制安专项技术方案合理性、完整性一般，基本满足采购需求，得2分； 4.施工技术方案中交通信号控制系统（信号机及信号灯）、高清电子警察系统、CCTV闭路电视系统等制安专项技术方案不够完善，得1分； 5.无提供得0分。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根据供应商提供质量保证措施方案，方案应包括但不限于①内部管理制度；②质量控制制度；③质量保证方案及措施等进行评审： 1.方案内容详细、完善，措施针对性强，优于或完全满足采购需求，得5分； 2.方案内容较详细、完善，措施针对性较强，基本满足采购需求，得3分； 3.方案内容一般，措施针对性一般，基本满足采购需求，得2分； 4.方案内容不够完善，得1分； 5.未提供，得0分。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根据供应商提供的应急方案，方案包括但不限于①资源调配；②供货计划制定；③协调、供货跟踪等进行评审： 1.方案内容详细、完善，措施针对性强，优于或完全满足采购需求，得5分； 2.方案内容较详细、完善，措施针对性较强，基本满足采购需求，得3分； 3.方案内容一般，措施针对性一般，基本满足采购需求，得2分； 4.方案内容不够完善，得1分； 5.未提供内容的得0分。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(3.0分)</w:t>
            </w:r>
          </w:p>
        </w:tc>
        <w:tc>
          <w:tcPr>
            <w:tcW w:type="dxa" w:w="5076"/>
          </w:tcPr>
          <w:p>
            <w:pPr>
              <w:pStyle w:val="null3"/>
              <w:jc w:val="left"/>
            </w:pPr>
            <w:r>
              <w:rPr/>
              <w:t>由评委根据招标文件中的商务要求进行评审： 1、完全满足或优于招标文件要求的，得3分； 2、有1-2项负偏离的，得2分； 3、有3-4项负偏离的，得1分； 4、有5项或以上负偏离的，得0分。</w:t>
            </w:r>
          </w:p>
        </w:tc>
      </w:tr>
      <w:tr>
        <w:tc>
          <w:tcPr>
            <w:tcW w:type="dxa" w:w="922"/>
            <w:gridSpan w:val="2"/>
            <w:vMerge/>
          </w:tcPr>
          <w:p/>
        </w:tc>
        <w:tc>
          <w:tcPr>
            <w:tcW w:type="dxa" w:w="2307"/>
          </w:tcPr>
          <w:p>
            <w:pPr>
              <w:pStyle w:val="null3"/>
              <w:jc w:val="left"/>
            </w:pPr>
            <w:r>
              <w:rPr/>
              <w:t>拟派项目人员配备 (4.0分)</w:t>
            </w:r>
          </w:p>
        </w:tc>
        <w:tc>
          <w:tcPr>
            <w:tcW w:type="dxa" w:w="5076"/>
          </w:tcPr>
          <w:p>
            <w:pPr>
              <w:pStyle w:val="null3"/>
              <w:jc w:val="left"/>
            </w:pPr>
            <w:r>
              <w:rPr/>
              <w:t>根据供应商拟派项目人员进行评分： 1.项目负责人（市政工程相关专业）：具有一级注册建造师得2分，二级注册建造师得1分，其余不得分。 2.项目技术负责人（市政工程、道桥相关专业）：具有高级工程师得2分，中级工程师得1分，其余不得分。 注：须提供相关人员证书和投标截止之日前6个月内任意一个月由供应商为其社保缴纳记录证明文件复印件，同一人不重复得分，无提供不得分。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2021年1月1日至今供应商承接过的同类项目业绩，每提供一个得2分，最高得4分。 注：提供合同关键页（合同封面、合同内容及签字盖章页）复印件作为评分依据，未按要求提供不得分。</w:t>
            </w:r>
          </w:p>
        </w:tc>
      </w:tr>
      <w:tr>
        <w:tc>
          <w:tcPr>
            <w:tcW w:type="dxa" w:w="922"/>
            <w:gridSpan w:val="2"/>
            <w:vMerge/>
          </w:tcPr>
          <w:p/>
        </w:tc>
        <w:tc>
          <w:tcPr>
            <w:tcW w:type="dxa" w:w="2307"/>
          </w:tcPr>
          <w:p>
            <w:pPr>
              <w:pStyle w:val="null3"/>
              <w:jc w:val="left"/>
            </w:pPr>
            <w:r>
              <w:rPr/>
              <w:t>车辆配备 (4.0分)</w:t>
            </w:r>
          </w:p>
        </w:tc>
        <w:tc>
          <w:tcPr>
            <w:tcW w:type="dxa" w:w="5076"/>
          </w:tcPr>
          <w:p>
            <w:pPr>
              <w:pStyle w:val="null3"/>
              <w:jc w:val="left"/>
            </w:pPr>
            <w:r>
              <w:rPr/>
              <w:t>拟投入车辆中，①配备2台普通载货汽车、2台高空作业车，得4分，②配备1台普通载货汽车、1台高空作业车，得2分，其它情况不得分。 注：①自有车辆提供车辆外观照片及车辆行驶证复印件及年审检验合格标志，②租赁车辆提供车辆外观照片、车辆行驶证复印件、租赁合同及年审检验合格标志，无提供不得分。</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根据采购需求中的“第二章 采购需求 售后服务要求”，包括但不限于：①服务便利性；②服务响应时间；③项目出现问题后的解决措施等进行评分： 1、方案中后续服务人员安排合理，后续服务内容完善，响应时间迅速，项目出现问题后的解决措施承诺好的，优于或完全满足采购需求，得5分； 2、方案中后续服务人员安排一般，后续服务内容较完善，响应时间一般，项目出现问题后的解决措施承诺合理的，基本满足采购需求，得3分； 3、方案中后续服务人员安排一般，后续服务内容简略，响应时间差，项目出现问题后的解决措施承诺差的，得2分； 4、方案内容不完善，得1分； 5、未提供方案，得0分。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jc w:val="center"/>
      </w:pPr>
      <w:r>
        <w:rPr>
          <w:sz w:val="40"/>
        </w:rPr>
        <w:t>政府采购货物买卖合同</w:t>
      </w:r>
    </w:p>
    <w:p>
      <w:pPr>
        <w:pStyle w:val="null3"/>
        <w:jc w:val="center"/>
      </w:pPr>
      <w:r>
        <w:rPr>
          <w:sz w:val="40"/>
        </w:rPr>
        <w:t>（试行）</w:t>
      </w:r>
    </w:p>
    <w:p>
      <w:pPr>
        <w:pStyle w:val="null3"/>
        <w:jc w:val="center"/>
      </w:pPr>
      <w:r>
        <w:rPr/>
        <w:t xml:space="preserve"> </w:t>
      </w:r>
    </w:p>
    <w:p>
      <w:pPr>
        <w:pStyle w:val="null3"/>
        <w:jc w:val="center"/>
      </w:pPr>
      <w:r>
        <w:rPr/>
        <w:t xml:space="preserve"> </w:t>
      </w:r>
    </w:p>
    <w:p>
      <w:pPr>
        <w:pStyle w:val="null3"/>
        <w:ind w:left="420"/>
        <w:jc w:val="both"/>
      </w:pPr>
      <w:r>
        <w:rPr>
          <w:sz w:val="21"/>
        </w:rPr>
        <w:t>项目名称：</w:t>
      </w:r>
      <w:r>
        <w:rPr>
          <w:sz w:val="21"/>
          <w:u w:val="single"/>
        </w:rPr>
        <w:t>科技路口和丰达路口建设交通信号灯项目</w:t>
      </w:r>
    </w:p>
    <w:p>
      <w:pPr>
        <w:pStyle w:val="null3"/>
        <w:ind w:left="420"/>
        <w:jc w:val="both"/>
      </w:pPr>
      <w:r>
        <w:rPr>
          <w:sz w:val="21"/>
        </w:rPr>
        <w:t>合同编号：</w:t>
      </w:r>
      <w:r>
        <w:rPr>
          <w:sz w:val="21"/>
          <w:u w:val="single"/>
        </w:rPr>
        <w:t xml:space="preserve">                             </w:t>
      </w:r>
    </w:p>
    <w:p>
      <w:pPr>
        <w:pStyle w:val="null3"/>
        <w:ind w:left="420"/>
        <w:jc w:val="both"/>
      </w:pPr>
      <w:r>
        <w:rPr>
          <w:sz w:val="21"/>
        </w:rPr>
        <w:t>甲</w:t>
      </w:r>
      <w:r>
        <w:rPr>
          <w:sz w:val="21"/>
        </w:rPr>
        <w:t xml:space="preserve">    </w:t>
      </w:r>
      <w:r>
        <w:rPr>
          <w:sz w:val="21"/>
        </w:rPr>
        <w:t>方：</w:t>
      </w:r>
      <w:r>
        <w:rPr>
          <w:sz w:val="21"/>
          <w:u w:val="single"/>
        </w:rPr>
        <w:t>丰顺县公安局</w:t>
      </w:r>
    </w:p>
    <w:p>
      <w:pPr>
        <w:pStyle w:val="null3"/>
        <w:ind w:left="420"/>
        <w:jc w:val="both"/>
      </w:pPr>
      <w:r>
        <w:rPr>
          <w:sz w:val="21"/>
        </w:rPr>
        <w:t>乙</w:t>
      </w:r>
      <w:r>
        <w:rPr>
          <w:sz w:val="21"/>
        </w:rPr>
        <w:t xml:space="preserve">    </w:t>
      </w:r>
      <w:r>
        <w:rPr>
          <w:sz w:val="21"/>
        </w:rPr>
        <w:t>方：</w:t>
      </w:r>
      <w:r>
        <w:rPr>
          <w:sz w:val="21"/>
          <w:u w:val="single"/>
        </w:rPr>
        <w:t xml:space="preserve">                             </w:t>
      </w:r>
    </w:p>
    <w:p>
      <w:pPr>
        <w:pStyle w:val="null3"/>
        <w:ind w:left="420"/>
        <w:jc w:val="both"/>
      </w:pPr>
      <w:r>
        <w:rPr>
          <w:sz w:val="21"/>
        </w:rPr>
        <w:t>签订时间：</w:t>
      </w:r>
      <w:r>
        <w:rPr>
          <w:sz w:val="21"/>
          <w:u w:val="single"/>
        </w:rPr>
        <w:t xml:space="preserve">      </w:t>
      </w:r>
      <w:r>
        <w:rPr>
          <w:sz w:val="21"/>
          <w:u w:val="single"/>
        </w:rPr>
        <w:t xml:space="preserve">           </w:t>
      </w:r>
      <w:r>
        <w:rPr>
          <w:sz w:val="21"/>
          <w:u w:val="single"/>
        </w:rPr>
        <w:t xml:space="preserve">            </w:t>
      </w:r>
    </w:p>
    <w:p>
      <w:pPr>
        <w:pStyle w:val="null3"/>
        <w:jc w:val="center"/>
      </w:pPr>
      <w:r>
        <w:rPr>
          <w:sz w:val="21"/>
        </w:rPr>
        <w:t>使</w:t>
      </w:r>
      <w:r>
        <w:rPr>
          <w:sz w:val="21"/>
        </w:rPr>
        <w:t>用</w:t>
      </w:r>
      <w:r>
        <w:rPr>
          <w:sz w:val="21"/>
        </w:rPr>
        <w:t>说</w:t>
      </w:r>
      <w:r>
        <w:rPr>
          <w:sz w:val="21"/>
        </w:rPr>
        <w:t>明</w:t>
      </w:r>
    </w:p>
    <w:p>
      <w:pPr>
        <w:pStyle w:val="null3"/>
        <w:ind w:firstLine="420"/>
        <w:jc w:val="both"/>
      </w:pPr>
      <w:r>
        <w:rPr>
          <w:sz w:val="21"/>
        </w:rPr>
        <w:t>1.本合同标准文本适用于购买现成货物的采购项目，不包括需要供应商定制开发、创新研发的货物采购项目。</w:t>
      </w:r>
    </w:p>
    <w:p>
      <w:pPr>
        <w:pStyle w:val="null3"/>
        <w:jc w:val="both"/>
      </w:pPr>
      <w:r>
        <w:rPr>
          <w:sz w:val="21"/>
        </w:rPr>
        <w:t xml:space="preserve">   </w:t>
      </w:r>
      <w:r>
        <w:rPr>
          <w:sz w:val="21"/>
        </w:rPr>
        <w:t>2.本合同标准文本为政府采购货物买卖合同编制提供参考，可以结合采购项目具体情况，对文本作必要的调整修订后使用。</w:t>
      </w:r>
    </w:p>
    <w:p>
      <w:pPr>
        <w:pStyle w:val="null3"/>
        <w:ind w:firstLine="420"/>
        <w:jc w:val="both"/>
      </w:pPr>
      <w:r>
        <w:rPr>
          <w:sz w:val="21"/>
        </w:rPr>
        <w:t>3.本合同标准文本各条款中，如涉及填写多家供应商、制造商，多种采购标的、分包主要内容等信息的，可根据采购项目具体情况添加信息项。</w:t>
      </w:r>
    </w:p>
    <w:p>
      <w:pPr>
        <w:pStyle w:val="null3"/>
        <w:ind w:firstLine="420"/>
        <w:jc w:val="both"/>
        <w:outlineLvl w:val="1"/>
      </w:pPr>
      <w:r>
        <w:rPr>
          <w:sz w:val="28"/>
          <w:b/>
        </w:rPr>
        <w:t>第一节</w:t>
      </w:r>
      <w:r>
        <w:rPr>
          <w:sz w:val="28"/>
          <w:b/>
        </w:rPr>
        <w:t>政府采购合同协议书</w:t>
      </w:r>
    </w:p>
    <w:p>
      <w:pPr>
        <w:pStyle w:val="null3"/>
        <w:jc w:val="both"/>
      </w:pPr>
      <w:r>
        <w:rPr>
          <w:sz w:val="21"/>
        </w:rPr>
        <w:t>甲方（全称）：</w:t>
      </w:r>
      <w:r>
        <w:rPr>
          <w:sz w:val="21"/>
          <w:u w:val="single"/>
        </w:rPr>
        <w:t xml:space="preserve">                 </w:t>
      </w:r>
      <w:r>
        <w:rPr>
          <w:sz w:val="21"/>
        </w:rPr>
        <w:t>（采购人、受采购人委托签订合同的单位或采购文件约定的合同甲方）</w:t>
      </w:r>
    </w:p>
    <w:p>
      <w:pPr>
        <w:pStyle w:val="null3"/>
        <w:jc w:val="both"/>
      </w:pPr>
      <w:r>
        <w:rPr>
          <w:sz w:val="21"/>
        </w:rPr>
        <w:t>乙方（全称）：</w:t>
      </w:r>
      <w:r>
        <w:rPr>
          <w:sz w:val="21"/>
          <w:u w:val="single"/>
        </w:rPr>
        <w:t xml:space="preserve">                       </w:t>
      </w:r>
      <w:r>
        <w:rPr>
          <w:sz w:val="21"/>
        </w:rPr>
        <w:t>（供应商）</w:t>
      </w:r>
    </w:p>
    <w:p>
      <w:pPr>
        <w:pStyle w:val="null3"/>
        <w:ind w:firstLine="420"/>
        <w:jc w:val="both"/>
      </w:pPr>
      <w:r>
        <w:rPr>
          <w:sz w:val="21"/>
        </w:rPr>
        <w:t>依据《中华人民共和国民法典》、《中华人民共和国政府采购法》等有关的法律法规，以及本采购项目的招标</w:t>
      </w:r>
      <w:r>
        <w:rPr>
          <w:sz w:val="21"/>
        </w:rPr>
        <w:t xml:space="preserve">/谈判文件等采购文件、乙方的《投标（响应）文件》及《中标（成交）通知书》，甲乙双方同意签订本合同。具体情况及要求如下：     </w:t>
      </w:r>
    </w:p>
    <w:p>
      <w:pPr>
        <w:pStyle w:val="null3"/>
        <w:jc w:val="left"/>
      </w:pPr>
      <w:r>
        <w:rPr>
          <w:sz w:val="21"/>
          <w:b/>
        </w:rPr>
        <w:t>1.项目信息</w:t>
      </w:r>
    </w:p>
    <w:p>
      <w:pPr>
        <w:pStyle w:val="null3"/>
        <w:ind w:firstLine="420"/>
        <w:jc w:val="both"/>
      </w:pPr>
      <w:r>
        <w:rPr>
          <w:sz w:val="21"/>
        </w:rPr>
        <w:t>（</w:t>
      </w:r>
      <w:r>
        <w:rPr>
          <w:sz w:val="21"/>
        </w:rPr>
        <w:t>1</w:t>
      </w:r>
      <w:r>
        <w:rPr>
          <w:sz w:val="21"/>
        </w:rPr>
        <w:t>）</w:t>
      </w:r>
      <w:r>
        <w:rPr>
          <w:sz w:val="21"/>
        </w:rPr>
        <w:t>采购项目名称：科技路口和丰达路口建设交通信号灯项目</w:t>
      </w:r>
    </w:p>
    <w:p>
      <w:pPr>
        <w:pStyle w:val="null3"/>
        <w:ind w:left="420"/>
        <w:jc w:val="both"/>
      </w:pPr>
      <w:r>
        <w:rPr>
          <w:sz w:val="21"/>
        </w:rPr>
        <w:t xml:space="preserve">         </w:t>
      </w:r>
      <w:r>
        <w:rPr>
          <w:sz w:val="21"/>
        </w:rPr>
        <w:t>采购项目编号：</w:t>
      </w:r>
      <w:r>
        <w:rPr>
          <w:sz w:val="21"/>
        </w:rPr>
        <w:t>441423-2026-00374</w:t>
      </w:r>
    </w:p>
    <w:p>
      <w:pPr>
        <w:pStyle w:val="null3"/>
        <w:ind w:firstLine="420"/>
        <w:jc w:val="both"/>
      </w:pPr>
      <w:r>
        <w:rPr>
          <w:sz w:val="21"/>
        </w:rPr>
        <w:t>（</w:t>
      </w:r>
      <w:r>
        <w:rPr>
          <w:sz w:val="21"/>
        </w:rPr>
        <w:t>2）采购计划编号：441423-2026-00374</w:t>
      </w:r>
    </w:p>
    <w:p>
      <w:pPr>
        <w:pStyle w:val="null3"/>
        <w:ind w:firstLine="420"/>
        <w:jc w:val="both"/>
      </w:pPr>
      <w:r>
        <w:rPr>
          <w:sz w:val="21"/>
        </w:rPr>
        <w:t>（</w:t>
      </w:r>
      <w:r>
        <w:rPr>
          <w:sz w:val="21"/>
        </w:rPr>
        <w:t>3）项目内容：</w:t>
      </w:r>
    </w:p>
    <w:p>
      <w:pPr>
        <w:pStyle w:val="null3"/>
        <w:ind w:firstLine="420"/>
        <w:jc w:val="both"/>
      </w:pPr>
      <w:r>
        <w:rPr>
          <w:sz w:val="21"/>
        </w:rPr>
        <w:t xml:space="preserve">     </w:t>
      </w:r>
      <w:r>
        <w:rPr>
          <w:sz w:val="21"/>
        </w:rPr>
        <w:t>采购标的及数量（台</w:t>
      </w:r>
      <w:r>
        <w:rPr>
          <w:sz w:val="21"/>
        </w:rPr>
        <w:t>/套</w:t>
      </w:r>
      <w:r>
        <w:rPr>
          <w:sz w:val="21"/>
        </w:rPr>
        <w:t>/</w:t>
      </w:r>
      <w:r>
        <w:rPr>
          <w:sz w:val="21"/>
        </w:rPr>
        <w:t>个</w:t>
      </w:r>
      <w:r>
        <w:rPr>
          <w:sz w:val="21"/>
        </w:rPr>
        <w:t>/</w:t>
      </w:r>
      <w:r>
        <w:rPr>
          <w:sz w:val="21"/>
        </w:rPr>
        <w:t>架</w:t>
      </w:r>
      <w:r>
        <w:rPr>
          <w:sz w:val="21"/>
        </w:rPr>
        <w:t>/</w:t>
      </w:r>
      <w:r>
        <w:rPr>
          <w:sz w:val="21"/>
        </w:rPr>
        <w:t>组等）：</w:t>
      </w:r>
      <w:r>
        <w:rPr>
          <w:sz w:val="21"/>
          <w:u w:val="single"/>
        </w:rPr>
        <w:t xml:space="preserve">              </w:t>
      </w:r>
      <w:r>
        <w:rPr>
          <w:sz w:val="21"/>
        </w:rPr>
        <w:t xml:space="preserve"> </w:t>
      </w:r>
    </w:p>
    <w:p>
      <w:pPr>
        <w:pStyle w:val="null3"/>
        <w:ind w:firstLine="420"/>
        <w:jc w:val="both"/>
      </w:pPr>
      <w:r>
        <w:rPr>
          <w:sz w:val="21"/>
        </w:rPr>
        <w:t xml:space="preserve">     </w:t>
      </w: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pPr>
      <w:r>
        <w:rPr>
          <w:sz w:val="21"/>
        </w:rPr>
        <w:t xml:space="preserve">    </w:t>
      </w:r>
      <w:r>
        <w:rPr>
          <w:sz w:val="21"/>
        </w:rPr>
        <w:t>（</w:t>
      </w:r>
      <w:r>
        <w:rPr>
          <w:sz w:val="21"/>
        </w:rPr>
        <w:t>4</w:t>
      </w:r>
      <w:r>
        <w:rPr>
          <w:sz w:val="21"/>
        </w:rPr>
        <w:t>）政府采购组织形式：</w:t>
      </w:r>
      <w:r>
        <w:rPr>
          <w:sz w:val="21"/>
        </w:rPr>
        <w:t xml:space="preserve">□政府集中采购  □部门集中采购  </w:t>
      </w:r>
      <w:r>
        <w:rPr>
          <w:sz w:val="21"/>
        </w:rPr>
        <w:t>☑</w:t>
      </w:r>
      <w:r>
        <w:rPr>
          <w:sz w:val="21"/>
        </w:rPr>
        <w:t>分散采购</w:t>
      </w:r>
    </w:p>
    <w:p>
      <w:pPr>
        <w:pStyle w:val="null3"/>
        <w:ind w:firstLine="420"/>
      </w:pPr>
      <w:r>
        <w:rPr>
          <w:sz w:val="21"/>
        </w:rPr>
        <w:t>（</w:t>
      </w:r>
      <w:r>
        <w:rPr>
          <w:sz w:val="21"/>
        </w:rPr>
        <w:t>5</w:t>
      </w:r>
      <w:r>
        <w:rPr>
          <w:sz w:val="21"/>
        </w:rPr>
        <w:t>）政府采购方式：</w:t>
      </w:r>
      <w:r>
        <w:rPr>
          <w:sz w:val="21"/>
        </w:rPr>
        <w:t>☑</w:t>
      </w:r>
      <w:r>
        <w:rPr>
          <w:sz w:val="21"/>
        </w:rPr>
        <w:t>公开招标</w:t>
      </w:r>
      <w:r>
        <w:rPr>
          <w:sz w:val="21"/>
        </w:rPr>
        <w:t>□邀请招标 □竞争性谈判 □竞争性磋商</w:t>
      </w:r>
    </w:p>
    <w:p>
      <w:pPr>
        <w:pStyle w:val="null3"/>
        <w:ind w:firstLine="420"/>
      </w:pPr>
      <w:r>
        <w:rPr/>
        <w:t xml:space="preserve">                  </w:t>
      </w:r>
      <w:r>
        <w:rPr>
          <w:sz w:val="21"/>
        </w:rPr>
        <w:t>□询价 □单一来源 □框架协议 □其他：</w:t>
      </w:r>
      <w:r>
        <w:rPr>
          <w:u w:val="single"/>
        </w:rPr>
        <w:t xml:space="preserve">          </w:t>
      </w:r>
    </w:p>
    <w:p>
      <w:pPr>
        <w:pStyle w:val="null3"/>
        <w:ind w:firstLine="420"/>
      </w:pPr>
      <w:r>
        <w:rPr>
          <w:sz w:val="21"/>
        </w:rPr>
        <w:t>（</w:t>
      </w:r>
      <w:r>
        <w:rPr>
          <w:sz w:val="21"/>
        </w:rPr>
        <w:t>6</w:t>
      </w:r>
      <w:r>
        <w:rPr>
          <w:sz w:val="21"/>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本合同是否为专门面向中小企业的采购合同（中小企业预留合同）：</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w:t>
      </w:r>
      <w:r>
        <w:rPr>
          <w:sz w:val="21"/>
        </w:rPr>
        <w:t>否</w:t>
      </w:r>
    </w:p>
    <w:p>
      <w:pPr>
        <w:pStyle w:val="null3"/>
        <w:jc w:val="both"/>
      </w:pPr>
      <w:r>
        <w:rPr>
          <w:sz w:val="21"/>
        </w:rPr>
        <w:t xml:space="preserve">    </w:t>
      </w:r>
      <w:r>
        <w:rPr>
          <w:sz w:val="21"/>
        </w:rPr>
        <w:t>（</w:t>
      </w:r>
      <w:r>
        <w:rPr>
          <w:sz w:val="21"/>
        </w:rPr>
        <w:t>8</w:t>
      </w:r>
      <w:r>
        <w:rPr>
          <w:sz w:val="21"/>
        </w:rPr>
        <w:t>）</w:t>
      </w:r>
      <w:r>
        <w:rPr>
          <w:sz w:val="21"/>
        </w:rPr>
        <w:t>是否涉及节能产品：</w:t>
      </w:r>
    </w:p>
    <w:p>
      <w:pPr>
        <w:pStyle w:val="null3"/>
        <w:jc w:val="both"/>
      </w:pPr>
      <w:r>
        <w:rPr>
          <w:sz w:val="21"/>
        </w:rPr>
        <w:t xml:space="preserve">         </w:t>
      </w:r>
      <w:r>
        <w:rPr>
          <w:sz w:val="21"/>
        </w:rPr>
        <w:t>□</w:t>
      </w:r>
      <w:r>
        <w:rPr>
          <w:sz w:val="21"/>
        </w:rPr>
        <w:t>是，《节能产品政府采购品目清单》的底级品目名称：</w:t>
      </w:r>
      <w:r>
        <w:rPr>
          <w:sz w:val="21"/>
          <w:u w:val="single"/>
        </w:rPr>
        <w:t xml:space="preserve">         </w:t>
      </w:r>
      <w:r>
        <w:rPr>
          <w:sz w:val="21"/>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r>
        <w:rPr>
          <w:sz w:val="21"/>
        </w:rPr>
        <w:t>□</w:t>
      </w:r>
      <w:r>
        <w:rPr>
          <w:sz w:val="21"/>
        </w:rPr>
        <w:t>否</w:t>
      </w:r>
    </w:p>
    <w:p>
      <w:pPr>
        <w:pStyle w:val="null3"/>
        <w:jc w:val="both"/>
      </w:pPr>
      <w:r>
        <w:rPr>
          <w:sz w:val="21"/>
        </w:rPr>
        <w:t xml:space="preserve">         </w:t>
      </w:r>
      <w:r>
        <w:rPr>
          <w:sz w:val="21"/>
        </w:rPr>
        <w:t>是否涉及环境标志产品：</w:t>
      </w:r>
    </w:p>
    <w:p>
      <w:pPr>
        <w:pStyle w:val="null3"/>
        <w:jc w:val="both"/>
      </w:pPr>
      <w:r>
        <w:rPr>
          <w:sz w:val="21"/>
        </w:rPr>
        <w:t xml:space="preserve">         </w:t>
      </w:r>
      <w:r>
        <w:rPr>
          <w:sz w:val="21"/>
        </w:rPr>
        <w:t>□</w:t>
      </w:r>
      <w:r>
        <w:rPr>
          <w:sz w:val="21"/>
        </w:rPr>
        <w:t>是，《环境标志产品政府采购品目清单》的底级品目名称：</w:t>
      </w:r>
      <w:r>
        <w:rPr>
          <w:sz w:val="21"/>
          <w:u w:val="single"/>
        </w:rPr>
        <w:t xml:space="preserve">         </w:t>
      </w:r>
      <w:r>
        <w:rPr>
          <w:sz w:val="21"/>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r>
        <w:rPr>
          <w:sz w:val="21"/>
        </w:rPr>
        <w:t>□</w:t>
      </w:r>
      <w:r>
        <w:rPr>
          <w:sz w:val="21"/>
        </w:rPr>
        <w:t>否</w:t>
      </w:r>
    </w:p>
    <w:p>
      <w:pPr>
        <w:pStyle w:val="null3"/>
      </w:pPr>
      <w:r>
        <w:rPr/>
        <w:t xml:space="preserve">          </w:t>
      </w:r>
      <w:r>
        <w:rPr>
          <w:sz w:val="21"/>
        </w:rPr>
        <w:t>是否涉及绿色产品：</w:t>
      </w:r>
    </w:p>
    <w:p>
      <w:pPr>
        <w:pStyle w:val="null3"/>
        <w:ind w:firstLine="420"/>
      </w:pPr>
      <w:r>
        <w:rPr/>
        <w:t xml:space="preserve">     </w:t>
      </w:r>
      <w:r>
        <w:rPr>
          <w:sz w:val="21"/>
        </w:rPr>
        <w:t>□</w:t>
      </w:r>
      <w:r>
        <w:rPr>
          <w:sz w:val="21"/>
        </w:rPr>
        <w:t>是，绿色产品政府采购相关政策确定的底级品目名称：</w:t>
      </w:r>
      <w:r>
        <w:rPr>
          <w:u w:val="single"/>
        </w:rPr>
        <w:t xml:space="preserve">         </w:t>
      </w:r>
    </w:p>
    <w:p>
      <w:pPr>
        <w:pStyle w:val="null3"/>
        <w:jc w:val="both"/>
      </w:pPr>
      <w:r>
        <w:rPr>
          <w:sz w:val="21"/>
        </w:rPr>
        <w:t xml:space="preserve">         </w:t>
      </w:r>
      <w:r>
        <w:rPr>
          <w:sz w:val="21"/>
        </w:rPr>
        <w:t>□</w:t>
      </w:r>
      <w:r>
        <w:rPr>
          <w:sz w:val="21"/>
        </w:rPr>
        <w:t>强制采购</w:t>
      </w:r>
      <w:r>
        <w:rPr>
          <w:sz w:val="21"/>
        </w:rPr>
        <w:t xml:space="preserve">       </w:t>
      </w:r>
      <w:r>
        <w:rPr>
          <w:sz w:val="21"/>
        </w:rPr>
        <w:t>□</w:t>
      </w:r>
      <w:r>
        <w:rPr>
          <w:sz w:val="21"/>
        </w:rPr>
        <w:t>优先采购</w:t>
      </w:r>
      <w:r>
        <w:rPr>
          <w:sz w:val="21"/>
        </w:rPr>
        <w:t xml:space="preserve">    </w:t>
      </w:r>
      <w:r>
        <w:rPr>
          <w:sz w:val="21"/>
        </w:rPr>
        <w:t>□</w:t>
      </w:r>
      <w:r>
        <w:rPr>
          <w:sz w:val="21"/>
        </w:rPr>
        <w:t>否</w:t>
      </w:r>
    </w:p>
    <w:p>
      <w:pPr>
        <w:pStyle w:val="null3"/>
        <w:jc w:val="both"/>
      </w:pPr>
      <w:r>
        <w:rPr>
          <w:sz w:val="21"/>
        </w:rPr>
        <w:t xml:space="preserve">    </w:t>
      </w:r>
      <w:r>
        <w:rPr>
          <w:sz w:val="21"/>
        </w:rPr>
        <w:t>（</w:t>
      </w:r>
      <w:r>
        <w:rPr>
          <w:sz w:val="21"/>
        </w:rPr>
        <w:t>1</w:t>
      </w:r>
      <w:r>
        <w:rPr>
          <w:sz w:val="21"/>
        </w:rPr>
        <w:t>1</w:t>
      </w:r>
      <w:r>
        <w:rPr>
          <w:sz w:val="21"/>
        </w:rPr>
        <w:t>）涉及商品包装和快递包装的，是否参考《商品包装政府采购需求标准（试行）》、《快递包装政府采购需求标准（试行）》明确产品及相关快递服务的具体包装要求：</w:t>
      </w:r>
    </w:p>
    <w:p>
      <w:pPr>
        <w:pStyle w:val="null3"/>
        <w:ind w:firstLine="840"/>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jc w:val="both"/>
      </w:pPr>
      <w:r>
        <w:rPr>
          <w:sz w:val="21"/>
          <w:b/>
        </w:rPr>
        <w:t>2.合同金额</w:t>
      </w:r>
    </w:p>
    <w:p>
      <w:pPr>
        <w:pStyle w:val="null3"/>
        <w:ind w:firstLine="420"/>
        <w:jc w:val="both"/>
      </w:pPr>
      <w:r>
        <w:rPr>
          <w:sz w:val="21"/>
        </w:rPr>
        <w:t>（</w:t>
      </w:r>
      <w:r>
        <w:rPr>
          <w:sz w:val="21"/>
        </w:rPr>
        <w:t>1）合同金额小写：</w:t>
      </w:r>
      <w:r>
        <w:rPr>
          <w:sz w:val="21"/>
          <w:u w:val="single"/>
        </w:rPr>
        <w:t xml:space="preserve">                           </w:t>
      </w:r>
    </w:p>
    <w:p>
      <w:pPr>
        <w:pStyle w:val="null3"/>
        <w:jc w:val="both"/>
      </w:pPr>
      <w:r>
        <w:rPr>
          <w:sz w:val="21"/>
        </w:rPr>
        <w:t xml:space="preserve">                 </w:t>
      </w:r>
      <w:r>
        <w:rPr>
          <w:sz w:val="21"/>
        </w:rPr>
        <w:t>大写：</w:t>
      </w:r>
      <w:r>
        <w:rPr>
          <w:sz w:val="21"/>
          <w:u w:val="single"/>
        </w:rPr>
        <w:t xml:space="preserve">                           </w:t>
      </w:r>
    </w:p>
    <w:p>
      <w:pPr>
        <w:pStyle w:val="null3"/>
        <w:jc w:val="both"/>
      </w:pPr>
      <w:r>
        <w:rPr>
          <w:sz w:val="21"/>
        </w:rPr>
        <w:t xml:space="preserve">    </w:t>
      </w:r>
      <w:r>
        <w:rPr>
          <w:sz w:val="21"/>
        </w:rPr>
        <w:t>（注：固定单价合同应填写单价和最高限价）</w:t>
      </w:r>
    </w:p>
    <w:p>
      <w:pPr>
        <w:pStyle w:val="null3"/>
        <w:jc w:val="both"/>
      </w:pPr>
      <w:r>
        <w:rPr>
          <w:sz w:val="21"/>
        </w:rPr>
        <w:t xml:space="preserve">    </w:t>
      </w:r>
      <w:r>
        <w:rPr>
          <w:sz w:val="21"/>
        </w:rPr>
        <w:t>（</w:t>
      </w:r>
      <w:r>
        <w:rPr>
          <w:sz w:val="21"/>
        </w:rPr>
        <w:t>2）合同定价方式（采用组合定价方式的，可以勾选多项）：</w:t>
      </w:r>
    </w:p>
    <w:p>
      <w:pPr>
        <w:pStyle w:val="null3"/>
        <w:ind w:firstLine="420"/>
        <w:jc w:val="both"/>
      </w:pPr>
      <w:r>
        <w:rPr>
          <w:sz w:val="21"/>
        </w:rPr>
        <w:t xml:space="preserve">  </w:t>
      </w:r>
      <w:r>
        <w:rPr>
          <w:sz w:val="21"/>
        </w:rPr>
        <w:t>□</w:t>
      </w:r>
      <w:r>
        <w:rPr>
          <w:sz w:val="21"/>
        </w:rPr>
        <w:t>固定总价</w:t>
      </w:r>
      <w:r>
        <w:rPr>
          <w:sz w:val="21"/>
        </w:rPr>
        <w:t>□</w:t>
      </w:r>
      <w:r>
        <w:rPr>
          <w:sz w:val="21"/>
        </w:rPr>
        <w:t>固定单价</w:t>
      </w:r>
      <w:r>
        <w:rPr>
          <w:sz w:val="21"/>
        </w:rPr>
        <w:t>□</w:t>
      </w:r>
      <w:r>
        <w:rPr>
          <w:sz w:val="21"/>
        </w:rPr>
        <w:t>固定费率</w:t>
      </w:r>
      <w:r>
        <w:rPr>
          <w:sz w:val="21"/>
        </w:rPr>
        <w:t>□</w:t>
      </w:r>
      <w:r>
        <w:rPr>
          <w:sz w:val="21"/>
        </w:rPr>
        <w:t>成本补偿</w:t>
      </w:r>
      <w:r>
        <w:rPr>
          <w:sz w:val="21"/>
        </w:rPr>
        <w:t>□</w:t>
      </w:r>
      <w:r>
        <w:rPr>
          <w:sz w:val="21"/>
        </w:rPr>
        <w:t>绩效激励</w:t>
      </w:r>
      <w:r>
        <w:rPr>
          <w:sz w:val="21"/>
        </w:rPr>
        <w:t>□</w:t>
      </w:r>
      <w:r>
        <w:rPr>
          <w:sz w:val="21"/>
        </w:rPr>
        <w:t>其他</w:t>
      </w:r>
      <w:r>
        <w:rPr>
          <w:sz w:val="21"/>
          <w:u w:val="single"/>
        </w:rPr>
        <w:t xml:space="preserve">       </w:t>
      </w:r>
    </w:p>
    <w:p>
      <w:pPr>
        <w:pStyle w:val="null3"/>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r>
        <w:rPr>
          <w:sz w:val="21"/>
          <w:u w:val="single"/>
        </w:rPr>
        <w:t>（应明确一次性支付合同款项的条件）</w:t>
      </w:r>
      <w:r>
        <w:rPr>
          <w:sz w:val="21"/>
          <w:u w:val="single"/>
        </w:rPr>
        <w:t xml:space="preserve">                    </w:t>
      </w:r>
    </w:p>
    <w:p>
      <w:pPr>
        <w:pStyle w:val="null3"/>
        <w:ind w:firstLine="630"/>
        <w:jc w:val="both"/>
      </w:pPr>
      <w:r>
        <w:rPr>
          <w:sz w:val="21"/>
        </w:rPr>
        <w:t>☑</w:t>
      </w:r>
      <w:r>
        <w:rPr>
          <w:sz w:val="21"/>
        </w:rPr>
        <w:t>分期付款：</w:t>
      </w:r>
      <w:r>
        <w:rPr>
          <w:sz w:val="21"/>
        </w:rPr>
        <w:t>1期：支付比例30%,签订合同后15个工作日内甲方向乙方支付合同总价的30%；</w:t>
      </w:r>
    </w:p>
    <w:p>
      <w:pPr>
        <w:pStyle w:val="null3"/>
        <w:ind w:firstLine="630"/>
        <w:jc w:val="both"/>
      </w:pPr>
      <w:r>
        <w:rPr>
          <w:sz w:val="21"/>
        </w:rPr>
        <w:t>2期：项目完成验收合格并经审核定案后10个工作日内甲方支付至审核金额的100%。</w:t>
      </w:r>
    </w:p>
    <w:p>
      <w:pPr>
        <w:pStyle w:val="null3"/>
        <w:ind w:firstLine="630"/>
        <w:jc w:val="both"/>
      </w:pPr>
      <w:r>
        <w:rPr>
          <w:sz w:val="21"/>
        </w:rPr>
        <w:t>注：甲方支付每笔货款时，乙方同时向甲方提供正式发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630"/>
        <w:jc w:val="both"/>
      </w:pPr>
      <w:r>
        <w:rPr>
          <w:sz w:val="21"/>
        </w:rPr>
        <w:t>付款方式：银行转账。</w:t>
      </w:r>
    </w:p>
    <w:p>
      <w:pPr>
        <w:pStyle w:val="null3"/>
        <w:ind w:firstLine="630"/>
        <w:jc w:val="both"/>
      </w:pPr>
      <w:r>
        <w:rPr>
          <w:sz w:val="21"/>
        </w:rPr>
        <w:t>如项目发生合同融资，甲方应当将合同款项支付到合同约定收款账户。</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jc w:val="both"/>
      </w:pPr>
      <w:r>
        <w:rPr>
          <w:sz w:val="21"/>
          <w:b/>
        </w:rPr>
        <w:t>3.合同履行</w:t>
      </w:r>
    </w:p>
    <w:p>
      <w:pPr>
        <w:pStyle w:val="null3"/>
        <w:ind w:firstLine="420"/>
        <w:jc w:val="both"/>
      </w:pPr>
      <w:r>
        <w:rPr>
          <w:sz w:val="21"/>
        </w:rPr>
        <w:t>（</w:t>
      </w:r>
      <w:r>
        <w:rPr>
          <w:sz w:val="21"/>
        </w:rPr>
        <w:t>1）起始日期：</w:t>
      </w:r>
      <w:r>
        <w:rPr>
          <w:sz w:val="21"/>
          <w:u w:val="single"/>
        </w:rPr>
        <w:t>自合同签订后</w:t>
      </w:r>
      <w:r>
        <w:rPr>
          <w:sz w:val="21"/>
          <w:u w:val="single"/>
        </w:rPr>
        <w:t>180天内完成所有设备的供货、安装、调试和验收并交付给甲方正常使用（逾期无法完工而引起的所有责任，费用均由乙方独自承担）。</w:t>
      </w:r>
    </w:p>
    <w:p>
      <w:pPr>
        <w:pStyle w:val="null3"/>
        <w:ind w:firstLine="420"/>
        <w:jc w:val="both"/>
      </w:pPr>
      <w:r>
        <w:rPr>
          <w:sz w:val="21"/>
        </w:rPr>
        <w:t>（</w:t>
      </w:r>
      <w:r>
        <w:rPr>
          <w:sz w:val="21"/>
        </w:rPr>
        <w:t>2）履约地点</w:t>
      </w:r>
      <w:r>
        <w:rPr>
          <w:sz w:val="21"/>
        </w:rPr>
        <w:t>：</w:t>
      </w:r>
      <w:r>
        <w:rPr>
          <w:sz w:val="21"/>
          <w:u w:val="single"/>
        </w:rPr>
        <w:t>甲方</w:t>
      </w:r>
      <w:r>
        <w:rPr>
          <w:sz w:val="21"/>
          <w:u w:val="single"/>
        </w:rPr>
        <w:t>指定地点。</w:t>
      </w:r>
    </w:p>
    <w:p>
      <w:pPr>
        <w:pStyle w:val="null3"/>
        <w:jc w:val="both"/>
      </w:pPr>
      <w:r>
        <w:rPr>
          <w:sz w:val="21"/>
          <w:b/>
        </w:rPr>
        <w:t>4.合同验收</w:t>
      </w:r>
    </w:p>
    <w:p>
      <w:pPr>
        <w:pStyle w:val="null3"/>
        <w:ind w:firstLine="420"/>
        <w:jc w:val="both"/>
      </w:pPr>
      <w:r>
        <w:rPr>
          <w:sz w:val="21"/>
        </w:rPr>
        <w:t>（</w:t>
      </w:r>
      <w:r>
        <w:rPr>
          <w:sz w:val="21"/>
        </w:rPr>
        <w:t>1</w:t>
      </w:r>
      <w:r>
        <w:rPr>
          <w:sz w:val="21"/>
        </w:rPr>
        <w:t>）</w:t>
      </w:r>
      <w:r>
        <w:rPr>
          <w:sz w:val="21"/>
        </w:rPr>
        <w:t>验收组织方式：</w:t>
      </w:r>
      <w:r>
        <w:rPr>
          <w:sz w:val="21"/>
        </w:rPr>
        <w:t>□</w:t>
      </w:r>
      <w:r>
        <w:rPr>
          <w:sz w:val="21"/>
        </w:rPr>
        <w:t>自行组织</w:t>
      </w:r>
      <w:r>
        <w:rPr>
          <w:sz w:val="21"/>
        </w:rPr>
        <w:t>□</w:t>
      </w:r>
      <w:r>
        <w:rPr>
          <w:sz w:val="21"/>
        </w:rPr>
        <w:t>委托第三方组织</w:t>
      </w:r>
    </w:p>
    <w:p>
      <w:pPr>
        <w:pStyle w:val="null3"/>
        <w:jc w:val="both"/>
      </w:pPr>
      <w:r>
        <w:rPr>
          <w:sz w:val="21"/>
        </w:rPr>
        <w:t xml:space="preserve">         </w:t>
      </w:r>
      <w:r>
        <w:rPr>
          <w:sz w:val="21"/>
        </w:rPr>
        <w:t>验收主体：</w:t>
      </w:r>
      <w:r>
        <w:rPr>
          <w:sz w:val="21"/>
          <w:u w:val="single"/>
        </w:rPr>
        <w:t xml:space="preserve">                  </w:t>
      </w:r>
    </w:p>
    <w:p>
      <w:pPr>
        <w:pStyle w:val="null3"/>
        <w:jc w:val="both"/>
      </w:pPr>
      <w:r>
        <w:rPr>
          <w:sz w:val="21"/>
        </w:rPr>
        <w:t xml:space="preserve">        </w:t>
      </w:r>
      <w:r>
        <w:rPr>
          <w:sz w:val="21"/>
        </w:rPr>
        <w:t>是否邀请本项目的其他供应商参加验收：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是否邀请第三方检测机构参加验收：</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是，抽查比例：</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u w:val="single"/>
        </w:rPr>
        <w:t>（应明确对被破坏的检测产品的处理方式）</w:t>
      </w: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r>
        <w:rPr>
          <w:sz w:val="21"/>
        </w:rPr>
        <w:t>□</w:t>
      </w:r>
      <w:r>
        <w:rPr>
          <w:sz w:val="21"/>
        </w:rPr>
        <w:t>分期</w:t>
      </w:r>
      <w:r>
        <w:rPr>
          <w:sz w:val="21"/>
        </w:rPr>
        <w:t>/分项验收：</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p>
    <w:p>
      <w:pPr>
        <w:pStyle w:val="null3"/>
        <w:jc w:val="both"/>
      </w:pPr>
      <w:r>
        <w:rPr>
          <w:sz w:val="21"/>
          <w:b/>
        </w:rPr>
        <w:t>5.组成合同的文件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1）政府采购合同协议书及其变更、补充协议</w:t>
      </w:r>
    </w:p>
    <w:p>
      <w:pPr>
        <w:pStyle w:val="null3"/>
        <w:ind w:firstLine="420"/>
        <w:jc w:val="both"/>
      </w:pPr>
      <w:r>
        <w:rPr>
          <w:sz w:val="21"/>
        </w:rPr>
        <w:t>（</w:t>
      </w:r>
      <w:r>
        <w:rPr>
          <w:sz w:val="21"/>
        </w:rPr>
        <w:t>2）中标（成交）通知书</w:t>
      </w:r>
    </w:p>
    <w:p>
      <w:pPr>
        <w:pStyle w:val="null3"/>
        <w:ind w:firstLine="420"/>
        <w:jc w:val="both"/>
      </w:pPr>
      <w:r>
        <w:rPr>
          <w:sz w:val="21"/>
        </w:rPr>
        <w:t>（</w:t>
      </w:r>
      <w:r>
        <w:rPr>
          <w:sz w:val="21"/>
        </w:rPr>
        <w:t>4）投标（响应）文件</w:t>
      </w:r>
    </w:p>
    <w:p>
      <w:pPr>
        <w:pStyle w:val="null3"/>
        <w:ind w:firstLine="420"/>
        <w:jc w:val="both"/>
      </w:pPr>
      <w:r>
        <w:rPr>
          <w:sz w:val="21"/>
        </w:rPr>
        <w:t>（</w:t>
      </w:r>
      <w:r>
        <w:rPr>
          <w:sz w:val="21"/>
        </w:rPr>
        <w:t>5）采购文件</w:t>
      </w:r>
    </w:p>
    <w:p>
      <w:pPr>
        <w:pStyle w:val="null3"/>
        <w:ind w:firstLine="420"/>
        <w:jc w:val="both"/>
      </w:pPr>
      <w:r>
        <w:rPr>
          <w:sz w:val="21"/>
        </w:rPr>
        <w:t>（</w:t>
      </w:r>
      <w:r>
        <w:rPr>
          <w:sz w:val="21"/>
        </w:rPr>
        <w:t>6）有关技术文件，图纸</w:t>
      </w:r>
    </w:p>
    <w:p>
      <w:pPr>
        <w:pStyle w:val="null3"/>
        <w:ind w:firstLine="420"/>
      </w:pPr>
      <w:r>
        <w:rPr>
          <w:sz w:val="21"/>
        </w:rPr>
        <w:t>（</w:t>
      </w:r>
      <w:r>
        <w:rPr>
          <w:sz w:val="21"/>
        </w:rPr>
        <w:t>7）</w:t>
      </w:r>
      <w:r>
        <w:rPr>
          <w:sz w:val="21"/>
          <w:color w:val="000000"/>
        </w:rPr>
        <w:t>国家法律、行政法规和规章制度规定或合同约定的作为合同组成部分的其他文件</w:t>
      </w:r>
    </w:p>
    <w:p>
      <w:pPr>
        <w:pStyle w:val="null3"/>
        <w:jc w:val="both"/>
      </w:pPr>
      <w:r>
        <w:rPr>
          <w:sz w:val="21"/>
          <w:b/>
        </w:rPr>
        <w:t>6.合同生效</w:t>
      </w:r>
    </w:p>
    <w:p>
      <w:pPr>
        <w:pStyle w:val="null3"/>
        <w:ind w:firstLine="420"/>
        <w:jc w:val="both"/>
      </w:pPr>
      <w:r>
        <w:rPr>
          <w:sz w:val="21"/>
        </w:rPr>
        <w:t>本合同自</w:t>
      </w:r>
      <w:r>
        <w:rPr>
          <w:sz w:val="21"/>
          <w:u w:val="single"/>
        </w:rPr>
        <w:t xml:space="preserve">                             </w:t>
      </w:r>
      <w:r>
        <w:rPr>
          <w:sz w:val="21"/>
        </w:rPr>
        <w:t>生效。</w:t>
      </w:r>
    </w:p>
    <w:p>
      <w:pPr>
        <w:pStyle w:val="null3"/>
        <w:jc w:val="both"/>
      </w:pPr>
      <w:r>
        <w:rPr>
          <w:sz w:val="21"/>
          <w:b/>
        </w:rPr>
        <w:t>7.合同份数</w:t>
      </w:r>
    </w:p>
    <w:p>
      <w:pPr>
        <w:pStyle w:val="null3"/>
        <w:ind w:firstLine="420"/>
        <w:jc w:val="both"/>
      </w:pPr>
      <w:r>
        <w:rPr>
          <w:sz w:val="21"/>
        </w:rPr>
        <w:t>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附件：具体标的及其技术要求和商务要求、联合协议、分包意向协议等。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（采购人、受采购人委托签订合同的单位或采购文件约定的合同甲方）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（公章或合同章）</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（公章或合同章）</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jc w:val="both"/>
        <w:outlineLvl w:val="1"/>
      </w:pPr>
      <w:r>
        <w:rPr>
          <w:sz w:val="28"/>
          <w:b/>
        </w:rPr>
        <w:t>第二节</w:t>
      </w:r>
      <w:r>
        <w:rPr>
          <w:sz w:val="28"/>
          <w:b/>
        </w:rPr>
        <w:t>政府采购合同通用条款</w:t>
      </w:r>
    </w:p>
    <w:p>
      <w:pPr>
        <w:pStyle w:val="null3"/>
        <w:jc w:val="left"/>
      </w:pPr>
      <w:r>
        <w:rPr>
          <w:sz w:val="24"/>
          <w:b/>
        </w:rPr>
        <w:t xml:space="preserve">1. </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1）采购人（以下称甲方）是指使用财政性资金，通过政府采购方式向供应商购买货物及其相关服务的国家机关、事业单位、团体组织。</w:t>
      </w:r>
    </w:p>
    <w:p>
      <w:pPr>
        <w:pStyle w:val="null3"/>
        <w:ind w:firstLine="420"/>
        <w:jc w:val="left"/>
      </w:pPr>
      <w:r>
        <w:rPr>
          <w:sz w:val="21"/>
        </w:rPr>
        <w:t>（</w:t>
      </w:r>
      <w:r>
        <w:rPr>
          <w:sz w:val="21"/>
        </w:rPr>
        <w:t>2）供应商（以下称乙方）是指参加政府采购活动并且中标（成交），向采购人提供合同约定的货物及其相关服务的法人、非法人组织或者自然人。</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政府采购合同协议书及其变更、补充协议，政府采购合同专用条款，政府采购合同通用条款，中标（成交）通知书，投标（响应）文件，采购文件，有关技术文件和图纸，以及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2）“合同价款”系指根据本合同规定乙方在全面履行合同义务后甲方应支付给乙方的价款。</w:t>
      </w:r>
    </w:p>
    <w:p>
      <w:pPr>
        <w:pStyle w:val="null3"/>
        <w:ind w:firstLine="420"/>
        <w:jc w:val="left"/>
      </w:pPr>
      <w:r>
        <w:rPr>
          <w:sz w:val="21"/>
        </w:rPr>
        <w:t>（</w:t>
      </w:r>
      <w:r>
        <w:rPr>
          <w:sz w:val="21"/>
        </w:rPr>
        <w:t>3）“货物”系指乙方根据本合同规定须向甲方提供的各种形态和种类的物品，包括原材料、设备、产品（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技术资料和材料等。</w:t>
      </w:r>
    </w:p>
    <w:p>
      <w:pPr>
        <w:pStyle w:val="null3"/>
        <w:ind w:firstLine="420"/>
        <w:jc w:val="left"/>
      </w:pPr>
      <w:r>
        <w:rPr>
          <w:sz w:val="21"/>
          <w:color w:val="000000"/>
        </w:rPr>
        <w:t>（</w:t>
      </w:r>
      <w:r>
        <w:rPr>
          <w:sz w:val="21"/>
          <w:color w:val="000000"/>
        </w:rPr>
        <w:t>4）“</w:t>
      </w:r>
      <w:r>
        <w:rPr>
          <w:sz w:val="21"/>
        </w:rPr>
        <w:t>相关</w:t>
      </w:r>
      <w:r>
        <w:rPr>
          <w:sz w:val="21"/>
          <w:color w:val="000000"/>
        </w:rPr>
        <w:t>服务</w:t>
      </w:r>
      <w:r>
        <w:rPr>
          <w:sz w:val="21"/>
          <w:color w:val="000000"/>
        </w:rPr>
        <w:t>”系指根据合同规定，乙方应提供的与货物有关的技术、管理和</w:t>
      </w:r>
      <w:r>
        <w:rPr>
          <w:sz w:val="21"/>
          <w:color w:val="000000"/>
        </w:rPr>
        <w:t>其他</w:t>
      </w:r>
      <w:r>
        <w:rPr>
          <w:sz w:val="21"/>
          <w:color w:val="000000"/>
        </w:rPr>
        <w:t>服务，包括但不限于：管理和质量保证、运输、保险、检验、现场准备、安装、集成、调试、培训、维修、废弃处置、技术支持等以及合同中规定乙方应承担的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5）“分包”系指中标（成交）供应商按采购文件、投标（响应）文件的规定，根据分包意向协议，将中标（成交）项目中的部分履约内容，分给具有相应资质条件的供应商履行合同的行为。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rPr>
        <w:t>“联合体”系指由两个以上的自然人、法人或者非法人组织组成，以一个供应商的身份共同参加政府采购的主体</w:t>
      </w:r>
      <w:r>
        <w:rPr>
          <w:sz w:val="21"/>
          <w:color w:val="000000"/>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7）其他术语解释，见【</w:t>
      </w:r>
      <w:r>
        <w:rPr>
          <w:sz w:val="21"/>
          <w:b/>
          <w:color w:val="000000"/>
        </w:rPr>
        <w:t>政府采购合同专用条款</w:t>
      </w:r>
      <w:r>
        <w:rPr>
          <w:sz w:val="21"/>
          <w:color w:val="000000"/>
        </w:rPr>
        <w:t>】。</w:t>
      </w:r>
    </w:p>
    <w:p>
      <w:pPr>
        <w:pStyle w:val="null3"/>
        <w:jc w:val="left"/>
      </w:pPr>
      <w:r>
        <w:rPr>
          <w:sz w:val="24"/>
          <w:b/>
          <w:color w:val="000000"/>
        </w:rPr>
        <w:t>2.合同标的及金额</w:t>
      </w:r>
    </w:p>
    <w:p>
      <w:pPr>
        <w:pStyle w:val="null3"/>
        <w:ind w:firstLine="420"/>
        <w:jc w:val="left"/>
      </w:pPr>
      <w:r>
        <w:rPr>
          <w:sz w:val="21"/>
          <w:color w:val="000000"/>
        </w:rPr>
        <w:t>2.1 合同标的及金额应与中标（成交）结果一致。乙方为履行本合同而发生的所有费用均应包含在合同价款中，甲方不再另行支付</w:t>
      </w:r>
      <w:r>
        <w:rPr>
          <w:sz w:val="21"/>
          <w:color w:val="000000"/>
        </w:rPr>
        <w:t>其他</w:t>
      </w:r>
      <w:r>
        <w:rPr>
          <w:sz w:val="21"/>
          <w:color w:val="000000"/>
        </w:rPr>
        <w:t>任何费用。</w:t>
      </w:r>
    </w:p>
    <w:p>
      <w:pPr>
        <w:pStyle w:val="null3"/>
        <w:jc w:val="left"/>
      </w:pPr>
      <w:r>
        <w:rPr>
          <w:sz w:val="24"/>
          <w:b/>
          <w:color w:val="000000"/>
        </w:rPr>
        <w:t>3. 履行合同的时间、地点和方式</w:t>
      </w:r>
    </w:p>
    <w:p>
      <w:pPr>
        <w:pStyle w:val="null3"/>
        <w:ind w:firstLine="420"/>
        <w:jc w:val="left"/>
      </w:pPr>
      <w:r>
        <w:rPr>
          <w:sz w:val="21"/>
          <w:color w:val="000000"/>
        </w:rPr>
        <w:t xml:space="preserve">3.1 </w:t>
      </w:r>
      <w:r>
        <w:rPr>
          <w:sz w:val="21"/>
        </w:rPr>
        <w:t>乙方应当在约定的时间、地点，按照约定方式履行合同。</w:t>
      </w:r>
    </w:p>
    <w:p>
      <w:pPr>
        <w:pStyle w:val="null3"/>
        <w:jc w:val="left"/>
      </w:pPr>
      <w:r>
        <w:rPr>
          <w:sz w:val="24"/>
          <w:b/>
          <w:color w:val="000000"/>
        </w:rPr>
        <w:t>4. 甲方的权利和义务</w:t>
      </w:r>
    </w:p>
    <w:p>
      <w:pPr>
        <w:pStyle w:val="null3"/>
        <w:ind w:firstLine="420"/>
        <w:jc w:val="left"/>
      </w:pPr>
      <w:r>
        <w:rPr>
          <w:sz w:val="21"/>
          <w:color w:val="000000"/>
        </w:rPr>
        <w:t>4.1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 xml:space="preserve">4.2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 xml:space="preserve">5 </w:t>
      </w:r>
      <w:r>
        <w:rPr>
          <w:sz w:val="21"/>
          <w:color w:val="000000"/>
        </w:rPr>
        <w:t>甲方应当根据合同约定及时向乙方支付合同价款</w:t>
      </w:r>
      <w:r>
        <w:rPr>
          <w:sz w:val="21"/>
          <w:color w:val="000000"/>
        </w:rPr>
        <w:t>，不得以内部人员变更、履行内部付款流程等为由，拒绝或迟延支付。</w:t>
      </w:r>
    </w:p>
    <w:p>
      <w:pPr>
        <w:pStyle w:val="null3"/>
        <w:ind w:firstLine="420"/>
        <w:jc w:val="left"/>
      </w:pPr>
      <w:r>
        <w:rPr>
          <w:sz w:val="21"/>
          <w:color w:val="000000"/>
        </w:rPr>
        <w:t>4.6</w:t>
      </w:r>
      <w:r>
        <w:rPr>
          <w:sz w:val="21"/>
        </w:rPr>
        <w:t xml:space="preserve"> </w:t>
      </w:r>
      <w:r>
        <w:rPr>
          <w:sz w:val="21"/>
          <w:color w:val="000000"/>
        </w:rPr>
        <w:t>国家法律法规规定及</w:t>
      </w:r>
      <w:r>
        <w:rPr>
          <w:sz w:val="21"/>
          <w:b/>
        </w:rPr>
        <w:t>【政府采购合同专用条款】</w:t>
      </w:r>
      <w:r>
        <w:rPr>
          <w:sz w:val="21"/>
          <w:color w:val="000000"/>
        </w:rPr>
        <w:t>约定应由甲方承担的其他义务和责任。</w:t>
      </w:r>
    </w:p>
    <w:p>
      <w:pPr>
        <w:pStyle w:val="null3"/>
        <w:jc w:val="left"/>
      </w:pPr>
      <w:r>
        <w:rPr>
          <w:sz w:val="24"/>
          <w:b/>
          <w:color w:val="000000"/>
        </w:rPr>
        <w:t>5. 乙方的权利和义务</w:t>
      </w:r>
    </w:p>
    <w:p>
      <w:pPr>
        <w:pStyle w:val="null3"/>
        <w:ind w:firstLine="420"/>
        <w:jc w:val="left"/>
      </w:pPr>
      <w:r>
        <w:rPr>
          <w:sz w:val="21"/>
          <w:color w:val="000000"/>
        </w:rPr>
        <w:t xml:space="preserve">5.1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2 乙方应按照合同要求</w:t>
      </w:r>
      <w:r>
        <w:rPr>
          <w:sz w:val="21"/>
          <w:color w:val="000000"/>
        </w:rPr>
        <w:t>履约</w:t>
      </w:r>
      <w:r>
        <w:rPr>
          <w:sz w:val="21"/>
          <w:color w:val="000000"/>
        </w:rPr>
        <w:t>，充分合理安排，确保</w:t>
      </w:r>
      <w:r>
        <w:rPr>
          <w:sz w:val="21"/>
          <w:color w:val="000000"/>
        </w:rPr>
        <w:t>提供的货物及相关服务符合合同有关</w:t>
      </w:r>
      <w:r>
        <w:rPr>
          <w:sz w:val="21"/>
          <w:color w:val="000000"/>
        </w:rPr>
        <w:t>要求</w:t>
      </w:r>
      <w:r>
        <w:rPr>
          <w:sz w:val="21"/>
          <w:color w:val="000000"/>
        </w:rPr>
        <w:t>。接受项目行业管理部门及政府有关部门的指导，配合甲方的履约检查及验收，并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合同履行</w:t>
      </w:r>
    </w:p>
    <w:p>
      <w:pPr>
        <w:pStyle w:val="null3"/>
        <w:ind w:firstLine="420"/>
        <w:jc w:val="left"/>
      </w:pPr>
      <w:r>
        <w:rPr>
          <w:sz w:val="21"/>
          <w:color w:val="000000"/>
        </w:rPr>
        <w:t>6.1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 货物包装、运输、保险和交付要求</w:t>
      </w:r>
    </w:p>
    <w:p>
      <w:pPr>
        <w:pStyle w:val="null3"/>
        <w:ind w:firstLine="420"/>
        <w:jc w:val="left"/>
      </w:pPr>
      <w:r>
        <w:rPr>
          <w:sz w:val="21"/>
          <w:color w:val="000000"/>
        </w:rPr>
        <w:t>7.1 本合同</w:t>
      </w:r>
      <w:r>
        <w:rPr>
          <w:sz w:val="21"/>
          <w:color w:val="000000"/>
        </w:rPr>
        <w:t>涉及商品包装、快递包装的，</w:t>
      </w:r>
      <w:r>
        <w:rPr>
          <w:sz w:val="21"/>
          <w:color w:val="000000"/>
        </w:rPr>
        <w:t>除</w:t>
      </w:r>
      <w:r>
        <w:rPr>
          <w:sz w:val="21"/>
          <w:b/>
          <w:color w:val="000000"/>
        </w:rPr>
        <w:t>【政府采购合同专用条款】</w:t>
      </w:r>
      <w:r>
        <w:rPr>
          <w:sz w:val="21"/>
          <w:color w:val="000000"/>
        </w:rPr>
        <w:t>另有约定外，</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7.2 除</w:t>
      </w:r>
      <w:r>
        <w:rPr>
          <w:sz w:val="21"/>
          <w:b/>
          <w:color w:val="000000"/>
        </w:rPr>
        <w:t>【政府采购合同专用条款】</w:t>
      </w:r>
      <w:r>
        <w:rPr>
          <w:sz w:val="21"/>
          <w:color w:val="000000"/>
        </w:rPr>
        <w:t>另有约定外，</w:t>
      </w:r>
      <w:r>
        <w:rPr>
          <w:sz w:val="21"/>
          <w:color w:val="000000"/>
        </w:rPr>
        <w:t>乙方负责办理将货物运抵本合同规定的交货地点，并装卸、交付至甲方的一切运输事项，相关费用应包含在合同价款中。</w:t>
      </w:r>
    </w:p>
    <w:p>
      <w:pPr>
        <w:pStyle w:val="null3"/>
        <w:ind w:firstLine="420"/>
        <w:jc w:val="left"/>
      </w:pPr>
      <w:r>
        <w:rPr>
          <w:sz w:val="21"/>
          <w:color w:val="000000"/>
        </w:rPr>
        <w:t>7.3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乙方在运输到达之前应提前通知甲方，并提示货物运输装卸的注意事项，甲方配合乙方做好货物的接收工作。</w:t>
      </w:r>
    </w:p>
    <w:p>
      <w:pPr>
        <w:pStyle w:val="null3"/>
        <w:ind w:firstLine="420"/>
      </w:pPr>
      <w:r>
        <w:rPr>
          <w:sz w:val="21"/>
          <w:color w:val="000000"/>
        </w:rPr>
        <w:t xml:space="preserve">7.6 </w:t>
      </w:r>
      <w:r>
        <w:rPr>
          <w:sz w:val="21"/>
          <w:color w:val="000000"/>
        </w:rPr>
        <w:t>如因包装、运输问题导致货物</w:t>
      </w:r>
      <w:r>
        <w:rPr>
          <w:sz w:val="21"/>
          <w:color w:val="000000"/>
        </w:rPr>
        <w:t>损毁、丢失</w:t>
      </w:r>
      <w:r>
        <w:rPr>
          <w:sz w:val="21"/>
          <w:color w:val="000000"/>
        </w:rPr>
        <w:t>或者品质下降，甲方有权要求降价、换货、拒收部分或整批货物，由此产生的费用和损失，均由乙方承担。</w:t>
      </w:r>
    </w:p>
    <w:p>
      <w:pPr>
        <w:pStyle w:val="null3"/>
        <w:jc w:val="left"/>
      </w:pPr>
      <w:r>
        <w:rPr>
          <w:sz w:val="24"/>
          <w:b/>
          <w:color w:val="000000"/>
        </w:rPr>
        <w:t xml:space="preserve">8. </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1）本合同下提供的货物应符合合同</w:t>
      </w:r>
      <w:r>
        <w:rPr>
          <w:sz w:val="21"/>
          <w:color w:val="000000"/>
        </w:rPr>
        <w:t>约定的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3）乙方所提供的货物应符合国家有关安全、环保、卫生的规定。</w:t>
      </w:r>
    </w:p>
    <w:p>
      <w:pPr>
        <w:pStyle w:val="null3"/>
        <w:ind w:firstLine="420"/>
        <w:jc w:val="left"/>
      </w:pPr>
      <w:r>
        <w:rPr>
          <w:sz w:val="21"/>
        </w:rPr>
        <w:t>（</w:t>
      </w:r>
      <w:r>
        <w:rPr>
          <w:sz w:val="21"/>
        </w:rPr>
        <w:t>4）乙方应向甲方提交所提供货物的技术文件，包括相应的中文技术文件，如：产品目录、图纸、操作手册、使用说明、维护手册或服务指南等。上述文件应包装好随货物一同发运。</w:t>
      </w:r>
    </w:p>
    <w:p>
      <w:pPr>
        <w:pStyle w:val="null3"/>
        <w:ind w:firstLine="420"/>
        <w:jc w:val="left"/>
      </w:pPr>
      <w:r>
        <w:rPr>
          <w:sz w:val="21"/>
        </w:rPr>
        <w:t>8.2 保证</w:t>
      </w:r>
    </w:p>
    <w:p>
      <w:pPr>
        <w:pStyle w:val="null3"/>
        <w:ind w:firstLine="420"/>
        <w:jc w:val="left"/>
      </w:pPr>
      <w:r>
        <w:rPr>
          <w:sz w:val="21"/>
        </w:rPr>
        <w:t>（</w:t>
      </w:r>
      <w:r>
        <w:rPr>
          <w:sz w:val="21"/>
        </w:rPr>
        <w:t>1）乙方应保证提供的货物完全符合合同规定的质量、规格和性能要求。乙方应保证货物在正确安装、正常使用和保养条件下，</w:t>
      </w:r>
      <w:r>
        <w:rPr>
          <w:sz w:val="21"/>
        </w:rPr>
        <w:t>在其使用寿命期内具备合同约定的性能</w:t>
      </w:r>
      <w:r>
        <w:rPr>
          <w:sz w:val="21"/>
        </w:rPr>
        <w:t>。存在质量保证期的，货物最终交付验收合格后在</w:t>
      </w:r>
      <w:r>
        <w:rPr>
          <w:sz w:val="21"/>
          <w:b/>
        </w:rPr>
        <w:t>【政府采购合同专用条款】</w:t>
      </w:r>
      <w:r>
        <w:rPr>
          <w:sz w:val="21"/>
        </w:rPr>
        <w:t>规定或乙方书面承诺（两者以较长的为准）的质量保证期内，本保证保持有效。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5）乙方在约定的时间内未能弥补缺陷，甲方可采取必要的补救措施，但其风险和费用将由乙方承担，甲方根据合同约定对乙方行使的其他权利不受影响。</w:t>
      </w:r>
    </w:p>
    <w:p>
      <w:pPr>
        <w:pStyle w:val="null3"/>
        <w:jc w:val="left"/>
      </w:pPr>
      <w:r>
        <w:rPr>
          <w:sz w:val="24"/>
          <w:b/>
          <w:color w:val="000000"/>
        </w:rPr>
        <w:t>9</w:t>
      </w:r>
      <w:r>
        <w:rPr>
          <w:sz w:val="24"/>
          <w:b/>
        </w:rPr>
        <w:t>.</w:t>
      </w:r>
      <w:r>
        <w:rPr>
          <w:sz w:val="21"/>
          <w:b/>
        </w:rPr>
        <w:t xml:space="preserve"> </w:t>
      </w:r>
      <w:r>
        <w:rPr>
          <w:sz w:val="24"/>
          <w:b/>
        </w:rPr>
        <w:t>权利瑕疵担保</w:t>
      </w:r>
    </w:p>
    <w:p>
      <w:pPr>
        <w:pStyle w:val="null3"/>
        <w:ind w:firstLine="420"/>
        <w:jc w:val="left"/>
      </w:pPr>
      <w:r>
        <w:rPr>
          <w:sz w:val="21"/>
          <w:color w:val="000000"/>
        </w:rPr>
        <w:t>9.1 乙方保证对其出售的货物享有合法的权利。</w:t>
      </w:r>
    </w:p>
    <w:p>
      <w:pPr>
        <w:pStyle w:val="null3"/>
        <w:ind w:firstLine="420"/>
        <w:jc w:val="left"/>
      </w:pPr>
      <w:r>
        <w:rPr>
          <w:sz w:val="21"/>
          <w:color w:val="000000"/>
        </w:rPr>
        <w:t xml:space="preserve">9.2 </w:t>
      </w:r>
      <w:r>
        <w:rPr>
          <w:sz w:val="21"/>
        </w:rPr>
        <w:t>乙方保证在交付的货物上不存在抵押权等担保物权。</w:t>
      </w:r>
    </w:p>
    <w:p>
      <w:pPr>
        <w:pStyle w:val="null3"/>
        <w:ind w:firstLine="420"/>
        <w:jc w:val="left"/>
      </w:pPr>
      <w:r>
        <w:rPr>
          <w:sz w:val="21"/>
          <w:color w:val="000000"/>
        </w:rPr>
        <w:t>9.3 如甲方使用上述货物构成对第三人侵权的，则由乙方承担全部责任。</w:t>
      </w:r>
    </w:p>
    <w:p>
      <w:pPr>
        <w:pStyle w:val="null3"/>
        <w:jc w:val="left"/>
      </w:pPr>
      <w:r>
        <w:rPr>
          <w:sz w:val="24"/>
          <w:b/>
          <w:color w:val="000000"/>
        </w:rPr>
        <w:t>10. 知识产权保护</w:t>
      </w:r>
    </w:p>
    <w:p>
      <w:pPr>
        <w:pStyle w:val="null3"/>
        <w:ind w:firstLine="420"/>
        <w:jc w:val="left"/>
      </w:pPr>
      <w:r>
        <w:rPr>
          <w:sz w:val="21"/>
          <w:color w:val="000000"/>
        </w:rPr>
        <w:t>10.1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11. 保密义务</w:t>
      </w:r>
    </w:p>
    <w:p>
      <w:pPr>
        <w:pStyle w:val="null3"/>
        <w:ind w:firstLine="420"/>
        <w:jc w:val="left"/>
      </w:pPr>
      <w:r>
        <w:rPr>
          <w:sz w:val="21"/>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1"/>
          <w:b/>
        </w:rPr>
        <w:t>【政府采购合同专用条款】</w:t>
      </w:r>
      <w:r>
        <w:rPr>
          <w:sz w:val="21"/>
        </w:rPr>
        <w:t>中约定。</w:t>
      </w:r>
    </w:p>
    <w:p>
      <w:pPr>
        <w:pStyle w:val="null3"/>
        <w:jc w:val="left"/>
      </w:pPr>
      <w:r>
        <w:rPr>
          <w:sz w:val="24"/>
          <w:b/>
        </w:rPr>
        <w:t>12. 合同价款支付</w:t>
      </w:r>
    </w:p>
    <w:p>
      <w:pPr>
        <w:pStyle w:val="null3"/>
        <w:ind w:firstLine="420"/>
        <w:jc w:val="left"/>
      </w:pPr>
      <w:r>
        <w:rPr>
          <w:sz w:val="21"/>
        </w:rPr>
        <w:t>12.1 合同价款支付按照国库集中支付制度及财政管理相关规定执行。</w:t>
      </w:r>
    </w:p>
    <w:p>
      <w:pPr>
        <w:pStyle w:val="null3"/>
        <w:jc w:val="both"/>
        <w:outlineLvl w:val="1"/>
      </w:pPr>
      <w:r>
        <w:rPr>
          <w:sz w:val="21"/>
          <w:b/>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b/>
        </w:rPr>
        <w:t>】中约定。</w:t>
      </w:r>
    </w:p>
    <w:p>
      <w:pPr>
        <w:pStyle w:val="null3"/>
        <w:jc w:val="both"/>
      </w:pPr>
      <w:r>
        <w:rPr>
          <w:sz w:val="24"/>
          <w:b/>
        </w:rPr>
        <w:t>13. 履约保证金</w:t>
      </w:r>
    </w:p>
    <w:p>
      <w:pPr>
        <w:pStyle w:val="null3"/>
        <w:ind w:firstLine="420"/>
        <w:jc w:val="left"/>
      </w:pPr>
      <w:r>
        <w:rPr>
          <w:sz w:val="21"/>
        </w:rPr>
        <w:t xml:space="preserve">13.1 </w:t>
      </w:r>
      <w:r>
        <w:rPr>
          <w:sz w:val="21"/>
        </w:rPr>
        <w:t>乙方应当以支票、汇票、本票或者金融机构、担保机构出具的保函等非现金形式提交。</w:t>
      </w:r>
    </w:p>
    <w:p>
      <w:pPr>
        <w:pStyle w:val="null3"/>
        <w:ind w:firstLine="420"/>
        <w:jc w:val="left"/>
      </w:pPr>
      <w:r>
        <w:rPr>
          <w:sz w:val="21"/>
        </w:rPr>
        <w:t>13.2 如果乙方出现</w:t>
      </w:r>
      <w:r>
        <w:rPr>
          <w:sz w:val="21"/>
          <w:b/>
        </w:rPr>
        <w:t>【政府采购合同专用条款】</w:t>
      </w:r>
      <w:r>
        <w:rPr>
          <w:sz w:val="21"/>
        </w:rPr>
        <w:t>约定情形的</w:t>
      </w:r>
      <w:r>
        <w:rPr>
          <w:sz w:val="21"/>
        </w:rPr>
        <w:t>，履约保证金不予退还；如果乙方未能按合同约定全面履行义务，甲方有权从履约保证金中取得补偿或赔偿，且不影响甲方要求乙方承担合同约定的超过履约保证金的违约责任的权利。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1"/>
        </w:rPr>
        <w:t>13.3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 xml:space="preserve">14. </w:t>
      </w:r>
      <w:r>
        <w:rPr>
          <w:sz w:val="24"/>
          <w:b/>
        </w:rPr>
        <w:t>售后</w:t>
      </w:r>
      <w:r>
        <w:rPr>
          <w:sz w:val="24"/>
          <w:b/>
        </w:rPr>
        <w:t>服务</w:t>
      </w:r>
    </w:p>
    <w:p>
      <w:pPr>
        <w:pStyle w:val="null3"/>
        <w:ind w:firstLine="420"/>
        <w:jc w:val="left"/>
      </w:pPr>
      <w:r>
        <w:rPr>
          <w:sz w:val="21"/>
        </w:rPr>
        <w:t>14.1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4）在制造商所在地或指定现场就货物的安装、启动、运营、维护、废弃处置等对甲方操作人员进行培训</w:t>
      </w:r>
      <w:r>
        <w:rPr>
          <w:sz w:val="21"/>
        </w:rPr>
        <w:t>；</w:t>
      </w:r>
    </w:p>
    <w:p>
      <w:pPr>
        <w:pStyle w:val="null3"/>
        <w:ind w:firstLine="420"/>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b/>
        </w:rPr>
        <w:t>【政府采购合同专用条款】</w:t>
      </w:r>
      <w:r>
        <w:rPr>
          <w:sz w:val="21"/>
        </w:rPr>
        <w:t>规定由乙方提供的其他服务。</w:t>
      </w:r>
    </w:p>
    <w:p>
      <w:pPr>
        <w:pStyle w:val="null3"/>
        <w:ind w:firstLine="420"/>
        <w:jc w:val="left"/>
      </w:pPr>
      <w:r>
        <w:rPr>
          <w:sz w:val="21"/>
        </w:rPr>
        <w:t>14.2 乙方提供的售后服务的费用已包含在合同价款中，甲方不再另行支付。</w:t>
      </w:r>
    </w:p>
    <w:p>
      <w:pPr>
        <w:pStyle w:val="null3"/>
        <w:jc w:val="left"/>
      </w:pPr>
      <w:r>
        <w:rPr>
          <w:sz w:val="24"/>
          <w:b/>
        </w:rPr>
        <w:t>15. 违约责任</w:t>
      </w:r>
    </w:p>
    <w:p>
      <w:pPr>
        <w:pStyle w:val="null3"/>
        <w:ind w:firstLine="420"/>
        <w:jc w:val="left"/>
      </w:pPr>
      <w:r>
        <w:rPr>
          <w:sz w:val="21"/>
        </w:rPr>
        <w:t>15.1质量瑕疵的违约责任</w:t>
      </w:r>
    </w:p>
    <w:p>
      <w:pPr>
        <w:pStyle w:val="null3"/>
        <w:ind w:firstLine="420"/>
        <w:jc w:val="left"/>
      </w:pPr>
      <w:r>
        <w:rPr>
          <w:sz w:val="21"/>
        </w:rPr>
        <w:t>乙方提供的产品不符合合同约定的质量标准或存在产品质量缺陷，甲方有权要求乙方根据</w:t>
      </w:r>
      <w:r>
        <w:rPr>
          <w:sz w:val="21"/>
          <w:b/>
        </w:rPr>
        <w:t>【政府采购合同专用条款】</w:t>
      </w:r>
      <w:r>
        <w:rPr>
          <w:sz w:val="21"/>
        </w:rPr>
        <w:t>要求</w:t>
      </w:r>
      <w:r>
        <w:rPr>
          <w:sz w:val="21"/>
        </w:rPr>
        <w:t>及时修理、重作、更换，并承担由此给甲方造成的损失。</w:t>
      </w:r>
    </w:p>
    <w:p>
      <w:pPr>
        <w:pStyle w:val="null3"/>
        <w:ind w:firstLine="420"/>
        <w:jc w:val="left"/>
      </w:pPr>
      <w:r>
        <w:rPr>
          <w:sz w:val="21"/>
        </w:rPr>
        <w:t>15.2 迟延交货的违约责任</w:t>
      </w:r>
    </w:p>
    <w:p>
      <w:pPr>
        <w:pStyle w:val="null3"/>
        <w:ind w:firstLine="420"/>
        <w:jc w:val="left"/>
      </w:pPr>
      <w:r>
        <w:rPr>
          <w:sz w:val="21"/>
        </w:rPr>
        <w:t>（</w:t>
      </w:r>
      <w:r>
        <w:rPr>
          <w:sz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20"/>
        <w:jc w:val="left"/>
      </w:pPr>
      <w:r>
        <w:rPr>
          <w:sz w:val="21"/>
        </w:rPr>
        <w:t>（</w:t>
      </w:r>
      <w:r>
        <w:rPr>
          <w:sz w:val="21"/>
        </w:rPr>
        <w:t>2）如果乙方没有按照合同规定的时间交货和提供相关服务，甲方有权从货款中扣除误期赔偿费而不影响合同项下的其他补救方法，赔偿费按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规定执行。如果涉及公共利益，且赔偿金额无法弥补公共利益损失，甲方可要求继续履行或者采取其他补救措施。</w:t>
      </w:r>
    </w:p>
    <w:p>
      <w:pPr>
        <w:pStyle w:val="null3"/>
        <w:ind w:firstLine="420"/>
        <w:jc w:val="left"/>
      </w:pPr>
      <w:r>
        <w:rPr>
          <w:sz w:val="21"/>
        </w:rPr>
        <w:t>15.3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15.4其他违约责任根据项目实际需要按</w:t>
      </w:r>
      <w:r>
        <w:rPr>
          <w:sz w:val="21"/>
          <w:b/>
        </w:rPr>
        <w:t>【政府采购合同专用条款】</w:t>
      </w:r>
      <w:r>
        <w:rPr>
          <w:sz w:val="21"/>
        </w:rPr>
        <w:t>规定执行。</w:t>
      </w:r>
    </w:p>
    <w:p>
      <w:pPr>
        <w:pStyle w:val="null3"/>
        <w:jc w:val="left"/>
      </w:pPr>
      <w:r>
        <w:rPr>
          <w:sz w:val="24"/>
          <w:b/>
        </w:rPr>
        <w:t>16.合同变更、中止与终止</w:t>
      </w:r>
    </w:p>
    <w:p>
      <w:pPr>
        <w:pStyle w:val="null3"/>
        <w:jc w:val="left"/>
      </w:pPr>
      <w:r>
        <w:rPr>
          <w:sz w:val="21"/>
        </w:rPr>
        <w:t xml:space="preserve">    </w:t>
      </w:r>
      <w:r>
        <w:rPr>
          <w:sz w:val="21"/>
        </w:rPr>
        <w:t>16.1合同的变更</w:t>
      </w:r>
    </w:p>
    <w:p>
      <w:pPr>
        <w:pStyle w:val="null3"/>
        <w:ind w:firstLine="420"/>
        <w:jc w:val="left"/>
      </w:pPr>
      <w:r>
        <w:rPr>
          <w:sz w:val="21"/>
        </w:rPr>
        <w:t>政府采购合同履行中，在不改变合同其他条款的前提下，甲方可以在合同价款</w:t>
      </w:r>
      <w:r>
        <w:rPr>
          <w:sz w:val="21"/>
        </w:rPr>
        <w:t>10%的范围内追加与合同标的相同的货物，并就此与乙方协商一致后签订补充协议。</w:t>
      </w:r>
    </w:p>
    <w:p>
      <w:pPr>
        <w:pStyle w:val="null3"/>
        <w:ind w:firstLine="420"/>
        <w:jc w:val="left"/>
      </w:pPr>
      <w:r>
        <w:rPr>
          <w:sz w:val="21"/>
        </w:rPr>
        <w:t>16.2合同的中止</w:t>
      </w:r>
    </w:p>
    <w:p>
      <w:pPr>
        <w:pStyle w:val="null3"/>
        <w:ind w:firstLine="420"/>
        <w:jc w:val="left"/>
      </w:pPr>
      <w:r>
        <w:rPr>
          <w:sz w:val="21"/>
        </w:rPr>
        <w:t>（</w:t>
      </w:r>
      <w:r>
        <w:rPr>
          <w:sz w:val="21"/>
        </w:rPr>
        <w:t>1）合同履行过程中因供应商就采购文件、采购过程或结果提起投诉的，甲方认为有必要的，可以中止合同的履行。</w:t>
      </w:r>
    </w:p>
    <w:p>
      <w:pPr>
        <w:pStyle w:val="null3"/>
        <w:ind w:firstLine="420"/>
        <w:jc w:val="left"/>
      </w:pPr>
      <w:r>
        <w:rPr>
          <w:sz w:val="21"/>
        </w:rPr>
        <w:t>（</w:t>
      </w:r>
      <w:r>
        <w:rPr>
          <w:sz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4）甲方不得以行政区划调整、政府换届、机构或者职能调整以及相关责任人更替为由中止合同。</w:t>
      </w:r>
    </w:p>
    <w:p>
      <w:pPr>
        <w:pStyle w:val="null3"/>
        <w:ind w:firstLine="420"/>
        <w:jc w:val="left"/>
      </w:pPr>
      <w:r>
        <w:rPr>
          <w:sz w:val="21"/>
        </w:rPr>
        <w:t>16.3合同的终止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2）乙方未按合同约定履行，构成根本性违约的，甲方有权终止合同，</w:t>
      </w:r>
      <w:r>
        <w:rPr>
          <w:sz w:val="21"/>
        </w:rPr>
        <w:t>并追究乙方的违约责任</w:t>
      </w:r>
      <w:r>
        <w:rPr>
          <w:sz w:val="21"/>
        </w:rPr>
        <w:t>。</w:t>
      </w:r>
    </w:p>
    <w:p>
      <w:pPr>
        <w:pStyle w:val="null3"/>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sz w:val="24"/>
          <w:b/>
        </w:rPr>
        <w:t>17. 合同分包</w:t>
      </w:r>
    </w:p>
    <w:p>
      <w:pPr>
        <w:pStyle w:val="null3"/>
        <w:ind w:firstLine="420"/>
        <w:jc w:val="left"/>
      </w:pPr>
      <w:r>
        <w:rPr>
          <w:sz w:val="21"/>
        </w:rPr>
        <w:t>17.1 乙方不得将合同转包给其他供应商。涉及合同分包的，乙方应根据采购文件和投标（响应）文件规定进行合同分包。</w:t>
      </w:r>
    </w:p>
    <w:p>
      <w:pPr>
        <w:pStyle w:val="null3"/>
        <w:ind w:firstLine="420"/>
        <w:jc w:val="left"/>
      </w:pPr>
      <w:r>
        <w:rPr>
          <w:sz w:val="21"/>
        </w:rPr>
        <w:t>17.2 乙方执行政府采购政策向中小企业依法分包的，乙方应当按采购文件和投标（响应）文件签订分包意向协议，分包意向协议属于本合同组成部分。</w:t>
      </w:r>
    </w:p>
    <w:p>
      <w:pPr>
        <w:pStyle w:val="null3"/>
        <w:jc w:val="left"/>
      </w:pPr>
      <w:r>
        <w:rPr>
          <w:sz w:val="24"/>
          <w:b/>
        </w:rPr>
        <w:t>18. 不可抗力</w:t>
      </w:r>
    </w:p>
    <w:p>
      <w:pPr>
        <w:pStyle w:val="null3"/>
        <w:ind w:firstLine="420"/>
        <w:jc w:val="left"/>
      </w:pPr>
      <w:r>
        <w:rPr>
          <w:sz w:val="21"/>
        </w:rPr>
        <w:t>18.1 不可抗力是指合同双方不能预见、不能避免且不能克服的客观情况。</w:t>
      </w:r>
    </w:p>
    <w:p>
      <w:pPr>
        <w:pStyle w:val="null3"/>
        <w:ind w:firstLine="420"/>
        <w:jc w:val="left"/>
      </w:pPr>
      <w:r>
        <w:rPr>
          <w:sz w:val="21"/>
        </w:rPr>
        <w:t>18.2 任何一方对由于不可抗力造成的部分或全部不能履行合同不承担违约责任。但迟延履行后发生不可抗力的，不能免除责任。</w:t>
      </w:r>
    </w:p>
    <w:p>
      <w:pPr>
        <w:pStyle w:val="null3"/>
        <w:ind w:firstLine="420"/>
        <w:jc w:val="left"/>
      </w:pPr>
      <w:r>
        <w:rPr>
          <w:sz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rPr>
        <w:t>19. 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 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0.2 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21. 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22. 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22.3本合同一方给另一方的通知均应采用书面形式，传真或快递送到本合同中规定的对方的地址和办理签收手续。</w:t>
      </w:r>
    </w:p>
    <w:p>
      <w:pPr>
        <w:pStyle w:val="null3"/>
        <w:ind w:firstLine="420"/>
        <w:jc w:val="left"/>
      </w:pPr>
      <w:r>
        <w:rPr>
          <w:sz w:val="21"/>
        </w:rPr>
        <w:t>22.4通知以送达之日或通知书中规定的生效之日起生效，两者中以较迟之日为准。</w:t>
      </w:r>
    </w:p>
    <w:p>
      <w:pPr>
        <w:pStyle w:val="null3"/>
        <w:jc w:val="left"/>
      </w:pPr>
      <w:r>
        <w:rPr>
          <w:sz w:val="24"/>
          <w:b/>
        </w:rPr>
        <w:t>23.合同未尽事项</w:t>
      </w:r>
    </w:p>
    <w:p>
      <w:pPr>
        <w:pStyle w:val="null3"/>
        <w:ind w:firstLine="420"/>
        <w:jc w:val="left"/>
      </w:pPr>
      <w:r>
        <w:rPr>
          <w:sz w:val="21"/>
        </w:rPr>
        <w:t>23.1合同未尽事项见</w:t>
      </w:r>
      <w:r>
        <w:rPr>
          <w:sz w:val="21"/>
          <w:b/>
        </w:rPr>
        <w:t>【政府采购合同专用条款】</w:t>
      </w:r>
      <w:r>
        <w:rPr>
          <w:sz w:val="21"/>
        </w:rPr>
        <w:t>。</w:t>
      </w:r>
    </w:p>
    <w:p>
      <w:pPr>
        <w:pStyle w:val="null3"/>
        <w:jc w:val="left"/>
      </w:pPr>
      <w:r>
        <w:rPr>
          <w:sz w:val="21"/>
        </w:rPr>
        <w:t xml:space="preserve">    </w:t>
      </w:r>
      <w:r>
        <w:rPr>
          <w:sz w:val="21"/>
        </w:rPr>
        <w:t>23.2 合同附件与合同正文具有同等的法律效力。</w:t>
      </w:r>
    </w:p>
    <w:p>
      <w:pPr>
        <w:pStyle w:val="null3"/>
        <w:jc w:val="center"/>
      </w:pPr>
      <w:r>
        <w:rPr/>
        <w:t xml:space="preserve"> </w:t>
      </w:r>
    </w:p>
    <w:p>
      <w:pPr>
        <w:pStyle w:val="null3"/>
        <w:jc w:val="center"/>
        <w:outlineLvl w:val="1"/>
      </w:pPr>
      <w:r>
        <w:rPr>
          <w:sz w:val="28"/>
          <w:b/>
        </w:rPr>
        <w:t>第三节</w:t>
      </w:r>
      <w:r>
        <w:rPr>
          <w:sz w:val="28"/>
          <w:b/>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1.2（6）项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1.2（7）项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420"/>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履约保证金退还时间及逾期退还的违约金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14.1（5）项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14.1（6）项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15.4款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19.2款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rPr>
              <w:t>仲裁委员会申请仲裁，仲裁地点为</w:t>
            </w:r>
            <w:r>
              <w:rPr>
                <w:sz w:val="21"/>
                <w:u w:val="single"/>
              </w:rPr>
              <w:t xml:space="preserve">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23.1款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441423-2026-00374</w:t>
      </w:r>
    </w:p>
    <w:p>
      <w:pPr>
        <w:pStyle w:val="null3"/>
        <w:jc w:val="center"/>
        <w:outlineLvl w:val="3"/>
      </w:pPr>
      <w:r>
        <w:rPr>
          <w:sz w:val="24"/>
          <w:b/>
        </w:rPr>
        <w:t>采购项目编号：</w:t>
      </w:r>
      <w:r>
        <w:rPr>
          <w:sz w:val="24"/>
          <w:b/>
        </w:rPr>
        <w:t>441423-2026-00374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广东康嘉阳实业有限公司</w:t>
      </w:r>
    </w:p>
    <w:p>
      <w:pPr>
        <w:pStyle w:val="null3"/>
        <w:ind w:firstLine="480"/>
      </w:pPr>
      <w:r>
        <w:rPr/>
        <w:t xml:space="preserve"> 你方组织的</w:t>
      </w:r>
      <w:r>
        <w:rPr>
          <w:u w:val="single"/>
        </w:rPr>
        <w:t>“</w:t>
      </w:r>
      <w:r>
        <w:rPr>
          <w:u w:val="single"/>
        </w:rPr>
        <w:t>科技路口和丰达路口建设交通信号灯项目</w:t>
      </w:r>
      <w:r>
        <w:rPr>
          <w:u w:val="single"/>
        </w:rPr>
        <w:t>”</w:t>
      </w:r>
      <w:r>
        <w:rPr/>
        <w:t>项目的招标[采购项目编号为：</w:t>
      </w:r>
      <w:r>
        <w:rPr>
          <w:u w:val="single"/>
        </w:rPr>
        <w:t>441423-2026-00374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科技路口和丰达路口建设交通信号灯项目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广东康嘉阳实业有限公司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科技路口和丰达路口建设交通信号灯项目</w:t>
      </w:r>
      <w:r>
        <w:rPr/>
        <w:t>”项目采购[采购项目编号为</w:t>
      </w:r>
      <w:r>
        <w:rPr/>
        <w:t>441423-2026-00374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广东康嘉阳实业有限公司</w:t>
      </w:r>
    </w:p>
    <w:p>
      <w:pPr>
        <w:pStyle w:val="null3"/>
        <w:ind w:firstLine="480"/>
      </w:pPr>
      <w:r>
        <w:rPr/>
        <w:t xml:space="preserve"> 如果我方在贵采购代理机构组织的</w:t>
      </w:r>
      <w:r>
        <w:rPr/>
        <w:t>科技路口和丰达路口建设交通信号灯项目</w:t>
      </w:r>
      <w:r>
        <w:rPr/>
        <w:t>招标中获中标（采购项目编号：</w:t>
      </w:r>
      <w:r>
        <w:rPr/>
        <w:t>441423-2026-00374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广东康嘉阳实业有限公司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广东康嘉阳实业有限公司</w:t>
      </w:r>
    </w:p>
    <w:p>
      <w:pPr>
        <w:pStyle w:val="null3"/>
        <w:ind w:firstLine="480"/>
      </w:pPr>
      <w:r>
        <w:rPr/>
        <w:t>我单位已登记并准备参与“</w:t>
      </w:r>
      <w:r>
        <w:rPr/>
        <w:t>科技路口和丰达路口建设交通信号灯项目</w:t>
      </w:r>
      <w:r>
        <w:rPr/>
        <w:t>”项目（采购项目编号：</w:t>
      </w:r>
      <w:r>
        <w:rPr/>
        <w:t>441423-2026-00374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